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C046A18" w:rsidR="00A209D6" w:rsidRPr="002A1AFD" w:rsidRDefault="00A209D6" w:rsidP="00A209D6">
      <w:pPr>
        <w:pStyle w:val="Header"/>
        <w:tabs>
          <w:tab w:val="right" w:pos="9639"/>
        </w:tabs>
        <w:rPr>
          <w:bCs/>
          <w:i/>
          <w:sz w:val="24"/>
          <w:szCs w:val="24"/>
        </w:rPr>
      </w:pPr>
      <w:r w:rsidRPr="002A1AFD">
        <w:rPr>
          <w:bCs/>
          <w:sz w:val="24"/>
          <w:szCs w:val="24"/>
        </w:rPr>
        <w:t>3GPP TSG-RAN WG2 Meeting#</w:t>
      </w:r>
      <w:r w:rsidR="0036459E" w:rsidRPr="002A1AFD">
        <w:rPr>
          <w:bCs/>
          <w:sz w:val="24"/>
          <w:szCs w:val="24"/>
        </w:rPr>
        <w:t>1</w:t>
      </w:r>
      <w:r w:rsidR="008B54E8" w:rsidRPr="002A1AFD">
        <w:rPr>
          <w:bCs/>
          <w:sz w:val="24"/>
          <w:szCs w:val="24"/>
        </w:rPr>
        <w:t>2</w:t>
      </w:r>
      <w:r w:rsidR="005F196D">
        <w:rPr>
          <w:bCs/>
          <w:sz w:val="24"/>
          <w:szCs w:val="24"/>
        </w:rPr>
        <w:t>3</w:t>
      </w:r>
      <w:r w:rsidRPr="002A1AFD">
        <w:rPr>
          <w:bCs/>
          <w:sz w:val="24"/>
          <w:szCs w:val="24"/>
        </w:rPr>
        <w:tab/>
        <w:t>R2-</w:t>
      </w:r>
      <w:r w:rsidR="007D7B28" w:rsidRPr="002A1AFD">
        <w:rPr>
          <w:bCs/>
          <w:sz w:val="24"/>
          <w:szCs w:val="24"/>
        </w:rPr>
        <w:t>23</w:t>
      </w:r>
      <w:r w:rsidR="007D7B28">
        <w:rPr>
          <w:bCs/>
          <w:sz w:val="24"/>
          <w:szCs w:val="24"/>
        </w:rPr>
        <w:t>08605</w:t>
      </w:r>
    </w:p>
    <w:p w14:paraId="11776FA6" w14:textId="0B3F6654" w:rsidR="00A209D6" w:rsidRPr="002A1AFD" w:rsidRDefault="005F196D" w:rsidP="00A209D6">
      <w:pPr>
        <w:pStyle w:val="Header"/>
        <w:tabs>
          <w:tab w:val="right" w:pos="9639"/>
        </w:tabs>
        <w:rPr>
          <w:rFonts w:eastAsia="SimSun"/>
          <w:bCs/>
          <w:sz w:val="24"/>
          <w:szCs w:val="24"/>
          <w:lang w:eastAsia="zh-CN"/>
        </w:rPr>
      </w:pPr>
      <w:r>
        <w:rPr>
          <w:rFonts w:eastAsia="SimSun"/>
          <w:bCs/>
          <w:sz w:val="24"/>
          <w:szCs w:val="24"/>
          <w:lang w:eastAsia="zh-CN"/>
        </w:rPr>
        <w:t>Toulouse</w:t>
      </w:r>
      <w:r w:rsidR="009449F9" w:rsidRPr="002A1AFD">
        <w:rPr>
          <w:rFonts w:eastAsia="SimSun"/>
          <w:bCs/>
          <w:sz w:val="24"/>
          <w:szCs w:val="24"/>
          <w:lang w:eastAsia="zh-CN"/>
        </w:rPr>
        <w:t xml:space="preserve">, </w:t>
      </w:r>
      <w:r>
        <w:rPr>
          <w:rFonts w:eastAsia="SimSun"/>
          <w:bCs/>
          <w:sz w:val="24"/>
          <w:szCs w:val="24"/>
          <w:lang w:eastAsia="zh-CN"/>
        </w:rPr>
        <w:t>France</w:t>
      </w:r>
      <w:r w:rsidR="00A36F5F" w:rsidRPr="002A1AFD">
        <w:rPr>
          <w:rFonts w:eastAsia="SimSun"/>
          <w:bCs/>
          <w:sz w:val="24"/>
          <w:szCs w:val="24"/>
          <w:lang w:eastAsia="zh-CN"/>
        </w:rPr>
        <w:t xml:space="preserve">, </w:t>
      </w:r>
      <w:r w:rsidR="00EC78DF" w:rsidRPr="002A1AFD">
        <w:rPr>
          <w:rFonts w:eastAsia="SimSun"/>
          <w:bCs/>
          <w:sz w:val="24"/>
          <w:szCs w:val="24"/>
          <w:lang w:eastAsia="zh-CN"/>
        </w:rPr>
        <w:t>2</w:t>
      </w:r>
      <w:r>
        <w:rPr>
          <w:rFonts w:eastAsia="SimSun"/>
          <w:bCs/>
          <w:sz w:val="24"/>
          <w:szCs w:val="24"/>
          <w:lang w:eastAsia="zh-CN"/>
        </w:rPr>
        <w:t>1</w:t>
      </w:r>
      <w:r w:rsidR="00EC78DF" w:rsidRPr="002A1AFD">
        <w:rPr>
          <w:rFonts w:eastAsia="SimSun"/>
          <w:bCs/>
          <w:sz w:val="24"/>
          <w:szCs w:val="24"/>
          <w:lang w:eastAsia="zh-CN"/>
        </w:rPr>
        <w:t xml:space="preserve"> </w:t>
      </w:r>
      <w:r w:rsidR="00C80476" w:rsidRPr="002A1AFD">
        <w:rPr>
          <w:rFonts w:eastAsia="SimSun"/>
          <w:bCs/>
          <w:sz w:val="24"/>
          <w:szCs w:val="24"/>
          <w:lang w:eastAsia="zh-CN"/>
        </w:rPr>
        <w:t>- 2</w:t>
      </w:r>
      <w:r>
        <w:rPr>
          <w:rFonts w:eastAsia="SimSun"/>
          <w:bCs/>
          <w:sz w:val="24"/>
          <w:szCs w:val="24"/>
          <w:lang w:eastAsia="zh-CN"/>
        </w:rPr>
        <w:t>5</w:t>
      </w:r>
      <w:r w:rsidR="00C80476" w:rsidRPr="002A1AFD">
        <w:rPr>
          <w:rFonts w:eastAsia="SimSun"/>
          <w:bCs/>
          <w:sz w:val="24"/>
          <w:szCs w:val="24"/>
          <w:lang w:eastAsia="zh-CN"/>
        </w:rPr>
        <w:t xml:space="preserve"> </w:t>
      </w:r>
      <w:r w:rsidR="00884348" w:rsidRPr="002A1AFD">
        <w:rPr>
          <w:rFonts w:eastAsia="SimSun"/>
          <w:bCs/>
          <w:sz w:val="24"/>
          <w:szCs w:val="24"/>
          <w:lang w:eastAsia="zh-CN"/>
        </w:rPr>
        <w:t xml:space="preserve">of </w:t>
      </w:r>
      <w:r>
        <w:rPr>
          <w:rFonts w:eastAsia="SimSun"/>
          <w:bCs/>
          <w:sz w:val="24"/>
          <w:szCs w:val="24"/>
          <w:lang w:eastAsia="zh-CN"/>
        </w:rPr>
        <w:t>August</w:t>
      </w:r>
      <w:r w:rsidR="005C7CD5" w:rsidRPr="002A1AFD">
        <w:rPr>
          <w:rFonts w:eastAsia="SimSun"/>
          <w:bCs/>
          <w:sz w:val="24"/>
          <w:szCs w:val="24"/>
          <w:lang w:eastAsia="zh-CN"/>
        </w:rPr>
        <w:t xml:space="preserve"> 202</w:t>
      </w:r>
      <w:r w:rsidR="007F761F" w:rsidRPr="002A1AFD">
        <w:rPr>
          <w:rFonts w:eastAsia="SimSun"/>
          <w:bCs/>
          <w:sz w:val="24"/>
          <w:szCs w:val="24"/>
          <w:lang w:eastAsia="zh-CN"/>
        </w:rPr>
        <w:t>3</w:t>
      </w:r>
      <w:r w:rsidR="00A209D6" w:rsidRPr="002A1AFD">
        <w:rPr>
          <w:rFonts w:eastAsia="SimSun"/>
          <w:sz w:val="24"/>
          <w:szCs w:val="24"/>
          <w:lang w:eastAsia="zh-CN"/>
        </w:rPr>
        <w:tab/>
      </w:r>
    </w:p>
    <w:p w14:paraId="2E02E5F5" w14:textId="77777777" w:rsidR="00A209D6" w:rsidRPr="002A1AFD" w:rsidRDefault="00A209D6" w:rsidP="00A209D6">
      <w:pPr>
        <w:pStyle w:val="Header"/>
        <w:rPr>
          <w:bCs/>
          <w:sz w:val="24"/>
        </w:rPr>
      </w:pPr>
    </w:p>
    <w:p w14:paraId="403CB9C0" w14:textId="77777777" w:rsidR="00A209D6" w:rsidRPr="002A1AFD" w:rsidRDefault="00A209D6" w:rsidP="00A209D6">
      <w:pPr>
        <w:pStyle w:val="Header"/>
        <w:rPr>
          <w:bCs/>
          <w:sz w:val="24"/>
        </w:rPr>
      </w:pPr>
    </w:p>
    <w:p w14:paraId="310B92C9" w14:textId="6D73A951" w:rsidR="00446C3A" w:rsidRPr="002A1AFD" w:rsidRDefault="00446C3A" w:rsidP="00446C3A">
      <w:pPr>
        <w:pStyle w:val="CRCoverPage"/>
        <w:tabs>
          <w:tab w:val="left" w:pos="1985"/>
        </w:tabs>
        <w:rPr>
          <w:rFonts w:cs="Arial"/>
          <w:b/>
          <w:bCs/>
          <w:noProof/>
          <w:sz w:val="24"/>
          <w:lang w:eastAsia="ja-JP"/>
        </w:rPr>
      </w:pPr>
      <w:r w:rsidRPr="002A1AFD">
        <w:rPr>
          <w:rFonts w:cs="Arial"/>
          <w:b/>
          <w:bCs/>
          <w:noProof/>
          <w:sz w:val="24"/>
        </w:rPr>
        <w:t>Agenda item:</w:t>
      </w:r>
      <w:r w:rsidRPr="002A1AFD">
        <w:rPr>
          <w:rFonts w:cs="Arial"/>
          <w:b/>
          <w:bCs/>
          <w:noProof/>
          <w:sz w:val="24"/>
        </w:rPr>
        <w:tab/>
      </w:r>
      <w:r w:rsidR="00805EF8" w:rsidRPr="002A1AFD">
        <w:rPr>
          <w:rFonts w:cs="Arial"/>
          <w:b/>
          <w:bCs/>
          <w:noProof/>
          <w:sz w:val="24"/>
          <w:lang w:eastAsia="ja-JP"/>
        </w:rPr>
        <w:t>7</w:t>
      </w:r>
      <w:r w:rsidR="0025571F" w:rsidRPr="002A1AFD">
        <w:rPr>
          <w:rFonts w:cs="Arial"/>
          <w:b/>
          <w:bCs/>
          <w:noProof/>
          <w:sz w:val="24"/>
          <w:lang w:eastAsia="ja-JP"/>
        </w:rPr>
        <w:t>.8.2</w:t>
      </w:r>
    </w:p>
    <w:p w14:paraId="73188B46" w14:textId="77777777" w:rsidR="00446C3A" w:rsidRPr="002A1AFD" w:rsidRDefault="00446C3A" w:rsidP="00446C3A">
      <w:pPr>
        <w:tabs>
          <w:tab w:val="left" w:pos="1985"/>
        </w:tabs>
        <w:ind w:left="1985" w:hanging="1985"/>
        <w:rPr>
          <w:rFonts w:ascii="Arial" w:hAnsi="Arial" w:cs="Arial"/>
          <w:b/>
          <w:bCs/>
          <w:noProof/>
          <w:sz w:val="24"/>
        </w:rPr>
      </w:pPr>
      <w:r w:rsidRPr="002A1AFD">
        <w:rPr>
          <w:rFonts w:ascii="Arial" w:hAnsi="Arial" w:cs="Arial"/>
          <w:b/>
          <w:bCs/>
          <w:noProof/>
          <w:sz w:val="24"/>
        </w:rPr>
        <w:t>Source:</w:t>
      </w:r>
      <w:r w:rsidRPr="002A1AFD">
        <w:rPr>
          <w:rFonts w:ascii="Arial" w:hAnsi="Arial" w:cs="Arial"/>
          <w:b/>
          <w:bCs/>
          <w:noProof/>
          <w:sz w:val="24"/>
        </w:rPr>
        <w:tab/>
        <w:t>Nokia, Nokia Shanghai Bell</w:t>
      </w:r>
    </w:p>
    <w:p w14:paraId="553D264F" w14:textId="36016B22" w:rsidR="00446C3A" w:rsidRPr="002A1AFD" w:rsidRDefault="00446C3A" w:rsidP="00446C3A">
      <w:pPr>
        <w:ind w:left="1985" w:hanging="1985"/>
        <w:rPr>
          <w:rFonts w:ascii="Arial" w:hAnsi="Arial" w:cs="Arial"/>
          <w:b/>
          <w:bCs/>
          <w:noProof/>
          <w:sz w:val="24"/>
        </w:rPr>
      </w:pPr>
      <w:r w:rsidRPr="002A1AFD">
        <w:rPr>
          <w:rFonts w:ascii="Arial" w:hAnsi="Arial" w:cs="Arial"/>
          <w:b/>
          <w:bCs/>
          <w:noProof/>
          <w:sz w:val="24"/>
        </w:rPr>
        <w:t>Title:</w:t>
      </w:r>
      <w:r w:rsidRPr="002A1AFD">
        <w:rPr>
          <w:rFonts w:ascii="Arial" w:hAnsi="Arial" w:cs="Arial"/>
          <w:b/>
          <w:bCs/>
          <w:noProof/>
          <w:sz w:val="24"/>
        </w:rPr>
        <w:tab/>
      </w:r>
      <w:r w:rsidR="00E64AA2" w:rsidRPr="002A1AFD">
        <w:rPr>
          <w:rFonts w:ascii="Arial" w:hAnsi="Arial" w:cs="Arial"/>
          <w:b/>
          <w:bCs/>
          <w:noProof/>
          <w:sz w:val="24"/>
        </w:rPr>
        <w:t>On</w:t>
      </w:r>
      <w:r w:rsidR="00805EF8" w:rsidRPr="002A1AFD">
        <w:rPr>
          <w:rFonts w:ascii="Arial" w:hAnsi="Arial" w:cs="Arial"/>
          <w:b/>
          <w:bCs/>
          <w:noProof/>
          <w:sz w:val="24"/>
        </w:rPr>
        <w:t xml:space="preserve"> Height-dependent </w:t>
      </w:r>
      <w:r w:rsidR="00BA6461" w:rsidRPr="002A1AFD">
        <w:rPr>
          <w:rFonts w:ascii="Arial" w:hAnsi="Arial" w:cs="Arial"/>
          <w:b/>
          <w:bCs/>
          <w:noProof/>
          <w:sz w:val="24"/>
        </w:rPr>
        <w:t xml:space="preserve">Measurement Report </w:t>
      </w:r>
      <w:r w:rsidR="00805EF8" w:rsidRPr="002A1AFD">
        <w:rPr>
          <w:rFonts w:ascii="Arial" w:hAnsi="Arial" w:cs="Arial"/>
          <w:b/>
          <w:bCs/>
          <w:noProof/>
          <w:sz w:val="24"/>
        </w:rPr>
        <w:t>Configuration for UAVs</w:t>
      </w:r>
    </w:p>
    <w:p w14:paraId="25F387E8" w14:textId="58B430C4" w:rsidR="00446C3A" w:rsidRPr="002A1AFD" w:rsidRDefault="00446C3A" w:rsidP="00446C3A">
      <w:pPr>
        <w:ind w:left="1985" w:hanging="1985"/>
        <w:rPr>
          <w:rFonts w:ascii="Arial" w:hAnsi="Arial" w:cs="Arial"/>
          <w:b/>
          <w:bCs/>
          <w:noProof/>
          <w:sz w:val="24"/>
        </w:rPr>
      </w:pPr>
      <w:r w:rsidRPr="002A1AFD">
        <w:rPr>
          <w:rFonts w:ascii="Arial" w:hAnsi="Arial" w:cs="Arial"/>
          <w:b/>
          <w:bCs/>
          <w:noProof/>
          <w:sz w:val="24"/>
        </w:rPr>
        <w:t>WID/SID:</w:t>
      </w:r>
      <w:r w:rsidRPr="002A1AFD">
        <w:rPr>
          <w:rFonts w:ascii="Arial" w:hAnsi="Arial" w:cs="Arial"/>
          <w:b/>
          <w:bCs/>
          <w:noProof/>
          <w:sz w:val="24"/>
        </w:rPr>
        <w:tab/>
      </w:r>
      <w:r w:rsidR="0025571F" w:rsidRPr="002A1AFD">
        <w:rPr>
          <w:rFonts w:ascii="Arial" w:hAnsi="Arial" w:cs="Arial"/>
          <w:b/>
          <w:bCs/>
          <w:noProof/>
          <w:sz w:val="24"/>
        </w:rPr>
        <w:t xml:space="preserve">NR_UAV </w:t>
      </w:r>
      <w:r w:rsidRPr="002A1AFD">
        <w:rPr>
          <w:rFonts w:ascii="Arial" w:hAnsi="Arial" w:cs="Arial"/>
          <w:b/>
          <w:bCs/>
          <w:noProof/>
          <w:sz w:val="24"/>
        </w:rPr>
        <w:t xml:space="preserve">- Release </w:t>
      </w:r>
      <w:r w:rsidR="0025571F" w:rsidRPr="002A1AFD">
        <w:rPr>
          <w:rFonts w:ascii="Arial" w:hAnsi="Arial" w:cs="Arial"/>
          <w:b/>
          <w:bCs/>
          <w:noProof/>
          <w:sz w:val="24"/>
        </w:rPr>
        <w:t>18</w:t>
      </w:r>
    </w:p>
    <w:p w14:paraId="6FEB19D6" w14:textId="77777777" w:rsidR="00446C3A" w:rsidRPr="002A1AFD" w:rsidRDefault="00446C3A" w:rsidP="00446C3A">
      <w:pPr>
        <w:tabs>
          <w:tab w:val="left" w:pos="1985"/>
        </w:tabs>
        <w:rPr>
          <w:rFonts w:ascii="Arial" w:hAnsi="Arial" w:cs="Arial"/>
          <w:b/>
          <w:bCs/>
          <w:noProof/>
          <w:sz w:val="24"/>
        </w:rPr>
      </w:pPr>
      <w:r w:rsidRPr="002A1AFD">
        <w:rPr>
          <w:rFonts w:ascii="Arial" w:hAnsi="Arial" w:cs="Arial"/>
          <w:b/>
          <w:bCs/>
          <w:noProof/>
          <w:sz w:val="24"/>
        </w:rPr>
        <w:t>Document for:</w:t>
      </w:r>
      <w:r w:rsidRPr="002A1AFD">
        <w:rPr>
          <w:rFonts w:ascii="Arial" w:hAnsi="Arial" w:cs="Arial"/>
          <w:b/>
          <w:bCs/>
          <w:noProof/>
          <w:sz w:val="24"/>
        </w:rPr>
        <w:tab/>
        <w:t>Discussion and Decision</w:t>
      </w:r>
    </w:p>
    <w:p w14:paraId="294B1FC1" w14:textId="77777777" w:rsidR="00A209D6" w:rsidRPr="002A1AFD" w:rsidRDefault="00A209D6" w:rsidP="00A209D6">
      <w:pPr>
        <w:pStyle w:val="Heading1"/>
        <w:rPr>
          <w:noProof/>
        </w:rPr>
      </w:pPr>
      <w:r w:rsidRPr="002A1AFD">
        <w:rPr>
          <w:noProof/>
        </w:rPr>
        <w:t>1</w:t>
      </w:r>
      <w:r w:rsidRPr="002A1AFD">
        <w:rPr>
          <w:noProof/>
        </w:rPr>
        <w:tab/>
        <w:t>Introduction</w:t>
      </w:r>
    </w:p>
    <w:p w14:paraId="589E3C35" w14:textId="735D611D" w:rsidR="0064796C" w:rsidRDefault="0064796C" w:rsidP="00910872">
      <w:pPr>
        <w:jc w:val="both"/>
        <w:rPr>
          <w:noProof/>
        </w:rPr>
      </w:pPr>
      <w:r>
        <w:rPr>
          <w:noProof/>
        </w:rPr>
        <w:t xml:space="preserve">The following agreements were made </w:t>
      </w:r>
      <w:r w:rsidRPr="005A3377">
        <w:rPr>
          <w:noProof/>
        </w:rPr>
        <w:t>during RAN2#122 [</w:t>
      </w:r>
      <w:r w:rsidR="005A3377" w:rsidRPr="005A3377">
        <w:rPr>
          <w:noProof/>
        </w:rPr>
        <w:t>1</w:t>
      </w:r>
      <w:r w:rsidRPr="005A3377">
        <w:rPr>
          <w:noProof/>
        </w:rPr>
        <w:t>].</w:t>
      </w:r>
    </w:p>
    <w:p w14:paraId="30CD78B8" w14:textId="77777777" w:rsidR="0064796C" w:rsidRPr="0064796C" w:rsidRDefault="0064796C" w:rsidP="005A3D20">
      <w:pPr>
        <w:pBdr>
          <w:top w:val="single" w:sz="4" w:space="1" w:color="auto"/>
          <w:left w:val="single" w:sz="4" w:space="1" w:color="auto"/>
          <w:bottom w:val="single" w:sz="4" w:space="1" w:color="auto"/>
          <w:right w:val="single" w:sz="4" w:space="1" w:color="auto"/>
        </w:pBdr>
        <w:jc w:val="both"/>
        <w:rPr>
          <w:b/>
          <w:bCs/>
          <w:noProof/>
        </w:rPr>
      </w:pPr>
      <w:r w:rsidRPr="0064796C">
        <w:rPr>
          <w:b/>
          <w:bCs/>
          <w:noProof/>
        </w:rPr>
        <w:t>Agreements</w:t>
      </w:r>
    </w:p>
    <w:p w14:paraId="2A4D8CB7" w14:textId="77777777" w:rsidR="005A3D20" w:rsidRPr="005A3D20" w:rsidRDefault="005A3D20" w:rsidP="005A3D20">
      <w:pPr>
        <w:numPr>
          <w:ilvl w:val="0"/>
          <w:numId w:val="22"/>
        </w:numPr>
        <w:pBdr>
          <w:top w:val="single" w:sz="4" w:space="1" w:color="auto"/>
          <w:left w:val="single" w:sz="4" w:space="1" w:color="auto"/>
          <w:bottom w:val="single" w:sz="4" w:space="1" w:color="auto"/>
          <w:right w:val="single" w:sz="4" w:space="1" w:color="auto"/>
        </w:pBdr>
        <w:jc w:val="both"/>
        <w:rPr>
          <w:noProof/>
        </w:rPr>
      </w:pPr>
      <w:r w:rsidRPr="005A3D20">
        <w:rPr>
          <w:noProof/>
        </w:rPr>
        <w:t xml:space="preserve">Add height-based list of SSB-ToMeasure with corresponding height ranges and hysteresis in MeasObjectNR.  FFS on the number of height ranges </w:t>
      </w:r>
    </w:p>
    <w:p w14:paraId="7C1C1162" w14:textId="77777777" w:rsidR="005A3D20" w:rsidRPr="005A3D20" w:rsidRDefault="005A3D20" w:rsidP="005A3D20">
      <w:pPr>
        <w:numPr>
          <w:ilvl w:val="0"/>
          <w:numId w:val="22"/>
        </w:numPr>
        <w:pBdr>
          <w:top w:val="single" w:sz="4" w:space="1" w:color="auto"/>
          <w:left w:val="single" w:sz="4" w:space="1" w:color="auto"/>
          <w:bottom w:val="single" w:sz="4" w:space="1" w:color="auto"/>
          <w:right w:val="single" w:sz="4" w:space="1" w:color="auto"/>
        </w:pBdr>
        <w:jc w:val="both"/>
        <w:rPr>
          <w:noProof/>
        </w:rPr>
      </w:pPr>
      <w:r w:rsidRPr="005A3D20">
        <w:rPr>
          <w:noProof/>
        </w:rPr>
        <w:t xml:space="preserve">As a basic principle, if no height-specific SSB-ToMeasure is configured for a specific height region, the legacy behaviour applies.  </w:t>
      </w:r>
    </w:p>
    <w:p w14:paraId="5BD3D2B0" w14:textId="77777777" w:rsidR="005A3D20" w:rsidRPr="005A3D20" w:rsidRDefault="005A3D20" w:rsidP="005A3D20">
      <w:pPr>
        <w:numPr>
          <w:ilvl w:val="0"/>
          <w:numId w:val="22"/>
        </w:numPr>
        <w:pBdr>
          <w:top w:val="single" w:sz="4" w:space="1" w:color="auto"/>
          <w:left w:val="single" w:sz="4" w:space="1" w:color="auto"/>
          <w:bottom w:val="single" w:sz="4" w:space="1" w:color="auto"/>
          <w:right w:val="single" w:sz="4" w:space="1" w:color="auto"/>
        </w:pBdr>
        <w:jc w:val="both"/>
        <w:rPr>
          <w:noProof/>
        </w:rPr>
      </w:pPr>
      <w:r w:rsidRPr="005A3D20">
        <w:rPr>
          <w:noProof/>
        </w:rPr>
        <w:t>For UE behavior on L1 and L3 measurement, it is left to UE implementation whether to keep/discard the old samples while UE moves to a new height region with a different SSB-ToMeasure value</w:t>
      </w:r>
    </w:p>
    <w:p w14:paraId="68468DF7" w14:textId="77777777" w:rsidR="005A3D20" w:rsidRPr="005A3D20" w:rsidRDefault="005A3D20" w:rsidP="005A3D20">
      <w:pPr>
        <w:numPr>
          <w:ilvl w:val="0"/>
          <w:numId w:val="22"/>
        </w:numPr>
        <w:pBdr>
          <w:top w:val="single" w:sz="4" w:space="1" w:color="auto"/>
          <w:left w:val="single" w:sz="4" w:space="1" w:color="auto"/>
          <w:bottom w:val="single" w:sz="4" w:space="1" w:color="auto"/>
          <w:right w:val="single" w:sz="4" w:space="1" w:color="auto"/>
        </w:pBdr>
        <w:jc w:val="both"/>
        <w:rPr>
          <w:noProof/>
        </w:rPr>
      </w:pPr>
      <w:r w:rsidRPr="005A3D20">
        <w:rPr>
          <w:noProof/>
        </w:rPr>
        <w:t xml:space="preserve">New event types will be introduced on the combination of event Ax and event Hx, at least for event A4 + event H1/H2. FFS for other event Ax + event H1/H2. FFS on details, e.g. whether to include one height threshold (H1 or H2 threshold) or a height range (both H1 and H2 threshold) in the new event, how to configure height-dependent numberOfTriggeringCells, etc.    This will be applied to all height dependent MR parameters.  </w:t>
      </w:r>
    </w:p>
    <w:p w14:paraId="75C12960" w14:textId="77777777" w:rsidR="005A3D20" w:rsidRPr="005A3D20" w:rsidRDefault="005A3D20" w:rsidP="005A3D20">
      <w:pPr>
        <w:numPr>
          <w:ilvl w:val="0"/>
          <w:numId w:val="22"/>
        </w:numPr>
        <w:pBdr>
          <w:top w:val="single" w:sz="4" w:space="1" w:color="auto"/>
          <w:left w:val="single" w:sz="4" w:space="1" w:color="auto"/>
          <w:bottom w:val="single" w:sz="4" w:space="1" w:color="auto"/>
          <w:right w:val="single" w:sz="4" w:space="1" w:color="auto"/>
        </w:pBdr>
        <w:jc w:val="both"/>
        <w:rPr>
          <w:noProof/>
        </w:rPr>
      </w:pPr>
      <w:r w:rsidRPr="005A3D20">
        <w:rPr>
          <w:noProof/>
        </w:rPr>
        <w:t>Whether UE height is included when UAV specific MR is triggered is configurable by the network.</w:t>
      </w:r>
    </w:p>
    <w:p w14:paraId="0E5D3041" w14:textId="77777777" w:rsidR="005A3D20" w:rsidRPr="005A3D20" w:rsidRDefault="005A3D20" w:rsidP="005A3D20">
      <w:pPr>
        <w:numPr>
          <w:ilvl w:val="0"/>
          <w:numId w:val="22"/>
        </w:numPr>
        <w:pBdr>
          <w:top w:val="single" w:sz="4" w:space="1" w:color="auto"/>
          <w:left w:val="single" w:sz="4" w:space="1" w:color="auto"/>
          <w:bottom w:val="single" w:sz="4" w:space="1" w:color="auto"/>
          <w:right w:val="single" w:sz="4" w:space="1" w:color="auto"/>
        </w:pBdr>
        <w:jc w:val="both"/>
        <w:rPr>
          <w:noProof/>
        </w:rPr>
      </w:pPr>
      <w:r w:rsidRPr="005A3D20">
        <w:rPr>
          <w:noProof/>
        </w:rPr>
        <w:t>We will use LTE UEheight.</w:t>
      </w:r>
    </w:p>
    <w:p w14:paraId="438E63BA" w14:textId="1BB64C31" w:rsidR="00A151C7" w:rsidRPr="002A1AFD" w:rsidRDefault="00187793" w:rsidP="00910872">
      <w:pPr>
        <w:jc w:val="both"/>
        <w:rPr>
          <w:noProof/>
        </w:rPr>
      </w:pPr>
      <w:r w:rsidRPr="002A1AFD">
        <w:rPr>
          <w:noProof/>
        </w:rPr>
        <w:t>Based on the agreements during RAN2#12</w:t>
      </w:r>
      <w:r w:rsidR="005A3377">
        <w:rPr>
          <w:noProof/>
        </w:rPr>
        <w:t>2</w:t>
      </w:r>
      <w:r w:rsidRPr="002A1AFD">
        <w:rPr>
          <w:noProof/>
        </w:rPr>
        <w:t xml:space="preserve"> </w:t>
      </w:r>
      <w:r w:rsidR="002E2739" w:rsidRPr="002A1AFD">
        <w:rPr>
          <w:noProof/>
        </w:rPr>
        <w:t xml:space="preserve">the following discussion </w:t>
      </w:r>
      <w:r w:rsidR="006B2DF9">
        <w:rPr>
          <w:noProof/>
        </w:rPr>
        <w:t>addresses the interaction between the multi-cell triggering mechanism based on number of triggering cells, and the SSB-ToMeasure parameter.</w:t>
      </w:r>
      <w:r w:rsidR="00A151C7" w:rsidRPr="002A1AFD">
        <w:rPr>
          <w:noProof/>
        </w:rPr>
        <w:t xml:space="preserve"> </w:t>
      </w:r>
      <w:r w:rsidR="00D237D1">
        <w:rPr>
          <w:noProof/>
        </w:rPr>
        <w:t>We will also discuss the definitions of the triggering or entering conditions for Event H1 and Event H2.</w:t>
      </w:r>
    </w:p>
    <w:p w14:paraId="7D484B6E" w14:textId="4A11C848" w:rsidR="009339CB" w:rsidRPr="002A1AFD" w:rsidRDefault="009339CB" w:rsidP="009339CB">
      <w:pPr>
        <w:pStyle w:val="Heading1"/>
        <w:rPr>
          <w:noProof/>
        </w:rPr>
      </w:pPr>
      <w:r w:rsidRPr="002A1AFD">
        <w:rPr>
          <w:noProof/>
        </w:rPr>
        <w:t>2</w:t>
      </w:r>
      <w:r w:rsidRPr="002A1AFD">
        <w:rPr>
          <w:noProof/>
        </w:rPr>
        <w:tab/>
      </w:r>
      <w:r w:rsidR="00987265" w:rsidRPr="002A1AFD">
        <w:rPr>
          <w:noProof/>
        </w:rPr>
        <w:t>Discussion</w:t>
      </w:r>
    </w:p>
    <w:p w14:paraId="6327A5E6" w14:textId="67FFAE28" w:rsidR="009339CB" w:rsidRPr="002A1AFD" w:rsidRDefault="009339CB" w:rsidP="009339CB">
      <w:pPr>
        <w:pStyle w:val="Heading2"/>
        <w:rPr>
          <w:noProof/>
        </w:rPr>
      </w:pPr>
      <w:r w:rsidRPr="002A1AFD">
        <w:rPr>
          <w:noProof/>
        </w:rPr>
        <w:t>2.</w:t>
      </w:r>
      <w:r w:rsidR="005835D0" w:rsidRPr="002A1AFD">
        <w:rPr>
          <w:noProof/>
        </w:rPr>
        <w:t>1</w:t>
      </w:r>
      <w:r w:rsidRPr="002A1AFD">
        <w:rPr>
          <w:noProof/>
        </w:rPr>
        <w:tab/>
      </w:r>
      <w:r w:rsidR="00BD0BC4">
        <w:rPr>
          <w:noProof/>
        </w:rPr>
        <w:t>Functionality of NumberOfTriggeringCells and SSB-ToMeasure</w:t>
      </w:r>
    </w:p>
    <w:p w14:paraId="72C5CB41" w14:textId="3066F41C" w:rsidR="009F1DA2" w:rsidRDefault="00F6064E" w:rsidP="00317D3C">
      <w:pPr>
        <w:jc w:val="both"/>
        <w:rPr>
          <w:noProof/>
        </w:rPr>
      </w:pPr>
      <w:r w:rsidRPr="002A1AFD">
        <w:rPr>
          <w:noProof/>
        </w:rPr>
        <w:t>It was agreed during RAN2#12</w:t>
      </w:r>
      <w:r w:rsidR="00C93E5D">
        <w:rPr>
          <w:noProof/>
        </w:rPr>
        <w:t>2</w:t>
      </w:r>
      <w:r w:rsidRPr="002A1AFD">
        <w:rPr>
          <w:noProof/>
        </w:rPr>
        <w:t xml:space="preserve"> </w:t>
      </w:r>
      <w:r w:rsidR="00837FC5" w:rsidRPr="002A1AFD">
        <w:rPr>
          <w:noProof/>
        </w:rPr>
        <w:fldChar w:fldCharType="begin"/>
      </w:r>
      <w:r w:rsidR="00837FC5" w:rsidRPr="002A1AFD">
        <w:rPr>
          <w:noProof/>
        </w:rPr>
        <w:instrText xml:space="preserve"> REF _Ref133916279 \n \h </w:instrText>
      </w:r>
      <w:r w:rsidR="00837FC5" w:rsidRPr="002A1AFD">
        <w:rPr>
          <w:noProof/>
        </w:rPr>
      </w:r>
      <w:r w:rsidR="00837FC5" w:rsidRPr="002A1AFD">
        <w:rPr>
          <w:noProof/>
        </w:rPr>
        <w:fldChar w:fldCharType="separate"/>
      </w:r>
      <w:r w:rsidR="00030169" w:rsidRPr="002A1AFD">
        <w:rPr>
          <w:noProof/>
        </w:rPr>
        <w:t>[1]</w:t>
      </w:r>
      <w:r w:rsidR="00837FC5" w:rsidRPr="002A1AFD">
        <w:rPr>
          <w:noProof/>
        </w:rPr>
        <w:fldChar w:fldCharType="end"/>
      </w:r>
      <w:r w:rsidRPr="002A1AFD">
        <w:rPr>
          <w:noProof/>
        </w:rPr>
        <w:t xml:space="preserve"> that height dependency will apply to </w:t>
      </w:r>
      <w:r w:rsidRPr="002A1AFD">
        <w:rPr>
          <w:i/>
          <w:iCs/>
          <w:noProof/>
        </w:rPr>
        <w:t>eventA4</w:t>
      </w:r>
      <w:r w:rsidRPr="002A1AFD">
        <w:rPr>
          <w:noProof/>
        </w:rPr>
        <w:t xml:space="preserve"> and </w:t>
      </w:r>
      <w:r w:rsidRPr="002A1AFD">
        <w:rPr>
          <w:i/>
          <w:iCs/>
          <w:noProof/>
        </w:rPr>
        <w:t>numberOfTriggeringCells</w:t>
      </w:r>
      <w:r w:rsidR="00C93E5D">
        <w:rPr>
          <w:noProof/>
        </w:rPr>
        <w:t xml:space="preserve"> through</w:t>
      </w:r>
      <w:r w:rsidRPr="002A1AFD">
        <w:rPr>
          <w:noProof/>
        </w:rPr>
        <w:t xml:space="preserve"> </w:t>
      </w:r>
      <w:r w:rsidR="00C93E5D">
        <w:rPr>
          <w:noProof/>
        </w:rPr>
        <w:t xml:space="preserve">the creation of </w:t>
      </w:r>
      <w:r w:rsidR="00336BB0">
        <w:rPr>
          <w:noProof/>
        </w:rPr>
        <w:t>"</w:t>
      </w:r>
      <w:r w:rsidR="00C93E5D">
        <w:rPr>
          <w:noProof/>
        </w:rPr>
        <w:t>new event</w:t>
      </w:r>
      <w:r w:rsidR="00336BB0">
        <w:rPr>
          <w:noProof/>
        </w:rPr>
        <w:t xml:space="preserve"> types on the combination of event Ax and event Hx, at least for event A4 + event H1/H</w:t>
      </w:r>
      <w:r w:rsidR="005B0FF2">
        <w:rPr>
          <w:noProof/>
        </w:rPr>
        <w:t>2</w:t>
      </w:r>
      <w:r w:rsidR="00D76655">
        <w:rPr>
          <w:noProof/>
        </w:rPr>
        <w:t xml:space="preserve"> thres</w:t>
      </w:r>
      <w:r w:rsidR="00010956">
        <w:rPr>
          <w:noProof/>
        </w:rPr>
        <w:t>holds</w:t>
      </w:r>
      <w:r w:rsidR="00D76655">
        <w:rPr>
          <w:noProof/>
        </w:rPr>
        <w:t>. Height-dependency will also apply to SSB-ToMeasure by “[adding] height-based list of SSB-ToMeasure with corresponding height ranges and hysteresis in MeasOb</w:t>
      </w:r>
      <w:r w:rsidR="002D395A">
        <w:rPr>
          <w:noProof/>
        </w:rPr>
        <w:t>j</w:t>
      </w:r>
      <w:r w:rsidR="00D76655">
        <w:rPr>
          <w:noProof/>
        </w:rPr>
        <w:t>ectNR”.</w:t>
      </w:r>
    </w:p>
    <w:p w14:paraId="64DE3DDE" w14:textId="5607C20B" w:rsidR="00DB6D98" w:rsidRDefault="001D6AD9" w:rsidP="00317D3C">
      <w:pPr>
        <w:jc w:val="both"/>
        <w:rPr>
          <w:noProof/>
        </w:rPr>
      </w:pPr>
      <w:r w:rsidRPr="72A74740">
        <w:rPr>
          <w:noProof/>
        </w:rPr>
        <w:t xml:space="preserve">The motivation behind </w:t>
      </w:r>
      <w:r w:rsidR="0085665F" w:rsidRPr="72A74740">
        <w:rPr>
          <w:noProof/>
        </w:rPr>
        <w:t xml:space="preserve">each parameter, </w:t>
      </w:r>
      <w:r w:rsidR="0085665F" w:rsidRPr="72A74740">
        <w:rPr>
          <w:i/>
          <w:iCs/>
          <w:noProof/>
        </w:rPr>
        <w:t>numberOfTriggeringCells</w:t>
      </w:r>
      <w:r w:rsidR="0085665F" w:rsidRPr="72A74740">
        <w:rPr>
          <w:noProof/>
        </w:rPr>
        <w:t xml:space="preserve"> and </w:t>
      </w:r>
      <w:r w:rsidR="0085665F" w:rsidRPr="72A74740">
        <w:rPr>
          <w:i/>
          <w:iCs/>
          <w:noProof/>
        </w:rPr>
        <w:t>SSB-ToMeasure</w:t>
      </w:r>
      <w:r w:rsidR="0085665F" w:rsidRPr="72A74740">
        <w:rPr>
          <w:noProof/>
        </w:rPr>
        <w:t>, and their height-depdendent configurability ha</w:t>
      </w:r>
      <w:r w:rsidR="00FD0518" w:rsidRPr="72A74740">
        <w:rPr>
          <w:noProof/>
        </w:rPr>
        <w:t xml:space="preserve">ve yet to be considered in combination with each other. Namely, the implication of setting </w:t>
      </w:r>
      <w:r w:rsidR="00FD0518" w:rsidRPr="72A74740">
        <w:rPr>
          <w:i/>
          <w:iCs/>
          <w:noProof/>
        </w:rPr>
        <w:t>SSB-ToMeasure</w:t>
      </w:r>
      <w:r w:rsidR="00FD0518" w:rsidRPr="72A74740">
        <w:rPr>
          <w:noProof/>
        </w:rPr>
        <w:t xml:space="preserve"> when </w:t>
      </w:r>
      <w:r w:rsidR="00FD0518" w:rsidRPr="72A74740">
        <w:rPr>
          <w:i/>
          <w:iCs/>
          <w:noProof/>
        </w:rPr>
        <w:t>numberOfTriggeringCells</w:t>
      </w:r>
      <w:r w:rsidR="00FD0518" w:rsidRPr="72A74740">
        <w:rPr>
          <w:noProof/>
        </w:rPr>
        <w:t xml:space="preserve"> is </w:t>
      </w:r>
      <w:r w:rsidR="002D395A">
        <w:rPr>
          <w:noProof/>
        </w:rPr>
        <w:t xml:space="preserve">also </w:t>
      </w:r>
      <w:r w:rsidR="00FD0518" w:rsidRPr="72A74740">
        <w:rPr>
          <w:noProof/>
        </w:rPr>
        <w:t xml:space="preserve">configured, and </w:t>
      </w:r>
      <w:r w:rsidR="00C364C3" w:rsidRPr="72A74740">
        <w:rPr>
          <w:noProof/>
        </w:rPr>
        <w:t>how the UE should behave when</w:t>
      </w:r>
      <w:r w:rsidR="00FD0518" w:rsidRPr="72A74740">
        <w:rPr>
          <w:noProof/>
        </w:rPr>
        <w:t xml:space="preserve"> </w:t>
      </w:r>
      <w:r w:rsidR="00FD0518" w:rsidRPr="72A74740">
        <w:rPr>
          <w:i/>
          <w:iCs/>
          <w:noProof/>
        </w:rPr>
        <w:t>numberOfTriggeringCells</w:t>
      </w:r>
      <w:r w:rsidR="00FD0518" w:rsidRPr="72A74740">
        <w:rPr>
          <w:noProof/>
        </w:rPr>
        <w:t xml:space="preserve"> and </w:t>
      </w:r>
      <w:r w:rsidR="00FD0518" w:rsidRPr="72A74740">
        <w:rPr>
          <w:i/>
          <w:iCs/>
          <w:noProof/>
        </w:rPr>
        <w:t>SSB-ToMeasure</w:t>
      </w:r>
      <w:r w:rsidR="00FD0518" w:rsidRPr="72A74740">
        <w:rPr>
          <w:noProof/>
        </w:rPr>
        <w:t xml:space="preserve"> </w:t>
      </w:r>
      <w:r w:rsidR="00C364C3" w:rsidRPr="72A74740">
        <w:rPr>
          <w:noProof/>
        </w:rPr>
        <w:t>are configured with different height ranges.</w:t>
      </w:r>
    </w:p>
    <w:p w14:paraId="2B11E715" w14:textId="0542A8D0" w:rsidR="003D7C88" w:rsidRDefault="007F5A6A" w:rsidP="00317D3C">
      <w:pPr>
        <w:jc w:val="both"/>
        <w:rPr>
          <w:noProof/>
        </w:rPr>
      </w:pPr>
      <w:r>
        <w:rPr>
          <w:noProof/>
        </w:rPr>
        <w:t xml:space="preserve">It is clear that </w:t>
      </w:r>
      <w:r w:rsidRPr="00BC0974">
        <w:rPr>
          <w:i/>
          <w:iCs/>
          <w:noProof/>
        </w:rPr>
        <w:t>numberOfTriggeringCells</w:t>
      </w:r>
      <w:r>
        <w:rPr>
          <w:noProof/>
        </w:rPr>
        <w:t xml:space="preserve"> is meant to mitigate the effects of interference by reporting to the gNodeB a list of cells which are detected </w:t>
      </w:r>
      <w:r w:rsidR="00EE0F9B">
        <w:rPr>
          <w:noProof/>
        </w:rPr>
        <w:t>at a sufficiently high level that interference is likely</w:t>
      </w:r>
      <w:r w:rsidR="00BC0974">
        <w:rPr>
          <w:noProof/>
        </w:rPr>
        <w:t xml:space="preserve"> to be caused, while </w:t>
      </w:r>
      <w:r w:rsidR="00BC0974">
        <w:rPr>
          <w:i/>
          <w:iCs/>
          <w:noProof/>
        </w:rPr>
        <w:t>SSB-ToMeasure</w:t>
      </w:r>
      <w:r w:rsidR="00BC0974">
        <w:rPr>
          <w:noProof/>
        </w:rPr>
        <w:t xml:space="preserve"> is </w:t>
      </w:r>
      <w:r w:rsidR="00BC0974">
        <w:rPr>
          <w:noProof/>
        </w:rPr>
        <w:lastRenderedPageBreak/>
        <w:t>meant as an optimization to mobility by only having the UE report on the closest of SSBs</w:t>
      </w:r>
      <w:r w:rsidR="00990843">
        <w:rPr>
          <w:noProof/>
        </w:rPr>
        <w:t xml:space="preserve"> for nearby cells. Because the two mechanisms were specified for different purposes, </w:t>
      </w:r>
      <w:r w:rsidR="00000AFC">
        <w:rPr>
          <w:noProof/>
        </w:rPr>
        <w:t>their behavior is not necessarily aligned</w:t>
      </w:r>
      <w:r w:rsidR="00BC095C">
        <w:rPr>
          <w:noProof/>
        </w:rPr>
        <w:t>.</w:t>
      </w:r>
    </w:p>
    <w:p w14:paraId="7A0CF4D6" w14:textId="24C59851" w:rsidR="0033255F" w:rsidRDefault="00E3198D" w:rsidP="00760484">
      <w:pPr>
        <w:pStyle w:val="Heading3"/>
        <w:rPr>
          <w:noProof/>
        </w:rPr>
      </w:pPr>
      <w:r w:rsidRPr="002A1AFD">
        <w:rPr>
          <w:noProof/>
        </w:rPr>
        <w:t>2.</w:t>
      </w:r>
      <w:r w:rsidR="00760484">
        <w:rPr>
          <w:noProof/>
        </w:rPr>
        <w:t>1.1</w:t>
      </w:r>
      <w:r w:rsidRPr="002A1AFD">
        <w:rPr>
          <w:noProof/>
        </w:rPr>
        <w:tab/>
      </w:r>
      <w:r w:rsidR="0033255F">
        <w:rPr>
          <w:noProof/>
        </w:rPr>
        <w:t>Interaction between NumberOfTriggeringCells and SSB-ToMeasure</w:t>
      </w:r>
    </w:p>
    <w:p w14:paraId="4B08D9FB" w14:textId="5AD21B44" w:rsidR="003C0A5F" w:rsidRPr="003C0A5F" w:rsidRDefault="00843057" w:rsidP="00FA4164">
      <w:pPr>
        <w:rPr>
          <w:b/>
          <w:bCs/>
        </w:rPr>
      </w:pPr>
      <w:r>
        <w:rPr>
          <w:b/>
          <w:bCs/>
        </w:rPr>
        <w:t>Interference Reporting and SSB-</w:t>
      </w:r>
      <w:proofErr w:type="spellStart"/>
      <w:r>
        <w:rPr>
          <w:b/>
          <w:bCs/>
        </w:rPr>
        <w:t>ToMeasure</w:t>
      </w:r>
      <w:proofErr w:type="spellEnd"/>
    </w:p>
    <w:p w14:paraId="097EA9DA" w14:textId="1289EA78" w:rsidR="00336AE9" w:rsidRDefault="00336AE9" w:rsidP="00336AE9">
      <w:pPr>
        <w:jc w:val="both"/>
        <w:rPr>
          <w:noProof/>
        </w:rPr>
      </w:pPr>
      <w:r>
        <w:rPr>
          <w:noProof/>
        </w:rPr>
        <w:t xml:space="preserve">When </w:t>
      </w:r>
      <w:r w:rsidRPr="00336AE9">
        <w:rPr>
          <w:i/>
          <w:iCs/>
          <w:noProof/>
        </w:rPr>
        <w:t xml:space="preserve">numberOfTriggeringCells </w:t>
      </w:r>
      <w:r>
        <w:rPr>
          <w:noProof/>
        </w:rPr>
        <w:t xml:space="preserve">and </w:t>
      </w:r>
      <w:r w:rsidRPr="00336AE9">
        <w:rPr>
          <w:i/>
          <w:iCs/>
          <w:noProof/>
        </w:rPr>
        <w:t>SSB-ToMeasure</w:t>
      </w:r>
      <w:r>
        <w:rPr>
          <w:noProof/>
        </w:rPr>
        <w:t xml:space="preserve"> are both set, the UE will only measure </w:t>
      </w:r>
      <w:r w:rsidR="00C33788">
        <w:rPr>
          <w:noProof/>
        </w:rPr>
        <w:t xml:space="preserve">signal strength of the SSBs listed in </w:t>
      </w:r>
      <w:r w:rsidR="00C33788" w:rsidRPr="00DB575D">
        <w:rPr>
          <w:i/>
          <w:iCs/>
          <w:noProof/>
        </w:rPr>
        <w:t>SSB-ToMeasure</w:t>
      </w:r>
      <w:r w:rsidR="00C33788">
        <w:rPr>
          <w:noProof/>
        </w:rPr>
        <w:t xml:space="preserve"> even if there are </w:t>
      </w:r>
      <w:r w:rsidR="00DB575D">
        <w:rPr>
          <w:noProof/>
        </w:rPr>
        <w:t>stronger SSBs than those in the list. That means that interference could be underreported</w:t>
      </w:r>
      <w:r w:rsidR="00DA2F10">
        <w:rPr>
          <w:noProof/>
        </w:rPr>
        <w:t>. For example</w:t>
      </w:r>
      <w:r w:rsidR="00CB2C69">
        <w:rPr>
          <w:noProof/>
        </w:rPr>
        <w:t xml:space="preserve"> (see </w:t>
      </w:r>
      <w:r w:rsidR="00CB2C69">
        <w:rPr>
          <w:noProof/>
        </w:rPr>
        <w:fldChar w:fldCharType="begin"/>
      </w:r>
      <w:r w:rsidR="00CB2C69">
        <w:rPr>
          <w:noProof/>
        </w:rPr>
        <w:instrText xml:space="preserve"> REF _Ref138681618 \h </w:instrText>
      </w:r>
      <w:r w:rsidR="00CB2C69">
        <w:rPr>
          <w:noProof/>
        </w:rPr>
      </w:r>
      <w:r w:rsidR="00CB2C69">
        <w:rPr>
          <w:noProof/>
        </w:rPr>
        <w:fldChar w:fldCharType="separate"/>
      </w:r>
      <w:r w:rsidR="00CB2C69">
        <w:t xml:space="preserve">Figure </w:t>
      </w:r>
      <w:r w:rsidR="00CB2C69">
        <w:rPr>
          <w:noProof/>
        </w:rPr>
        <w:t>1</w:t>
      </w:r>
      <w:r w:rsidR="00CB2C69">
        <w:rPr>
          <w:noProof/>
        </w:rPr>
        <w:fldChar w:fldCharType="end"/>
      </w:r>
      <w:r w:rsidR="00CB2C69">
        <w:rPr>
          <w:noProof/>
        </w:rPr>
        <w:t>)</w:t>
      </w:r>
      <w:r w:rsidR="00DA2F10">
        <w:rPr>
          <w:noProof/>
        </w:rPr>
        <w:t>, a cell could be configured with SSBs</w:t>
      </w:r>
      <w:r w:rsidR="00CB2C69">
        <w:rPr>
          <w:noProof/>
        </w:rPr>
        <w:t xml:space="preserve"> (0 and 1)</w:t>
      </w:r>
      <w:r w:rsidR="00DA2F10">
        <w:rPr>
          <w:noProof/>
        </w:rPr>
        <w:t xml:space="preserve"> that are tilted upward for better UAV UE operation, so </w:t>
      </w:r>
      <w:r w:rsidR="00DA2F10" w:rsidRPr="00DA2F10">
        <w:rPr>
          <w:i/>
          <w:iCs/>
          <w:noProof/>
        </w:rPr>
        <w:t>SSB-ToMeasure</w:t>
      </w:r>
      <w:r w:rsidR="00DA2F10">
        <w:rPr>
          <w:noProof/>
        </w:rPr>
        <w:t xml:space="preserve"> is set to </w:t>
      </w:r>
      <w:r w:rsidR="007A23B4">
        <w:rPr>
          <w:noProof/>
        </w:rPr>
        <w:t>measure only SSBs 0 and 1. The remaining SSBs, shown in blue, would not be measured, even for the purpose of interference reporting.</w:t>
      </w:r>
    </w:p>
    <w:p w14:paraId="4020E841" w14:textId="77777777" w:rsidR="00CB2C69" w:rsidRDefault="00CB2C69" w:rsidP="00CB2C69">
      <w:pPr>
        <w:keepNext/>
        <w:jc w:val="center"/>
      </w:pPr>
      <w:r>
        <w:rPr>
          <w:noProof/>
        </w:rPr>
        <w:drawing>
          <wp:inline distT="0" distB="0" distL="0" distR="0" wp14:anchorId="19B133B8" wp14:editId="456A5752">
            <wp:extent cx="1514475" cy="13398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17480" cy="1342488"/>
                    </a:xfrm>
                    <a:prstGeom prst="rect">
                      <a:avLst/>
                    </a:prstGeom>
                    <a:noFill/>
                  </pic:spPr>
                </pic:pic>
              </a:graphicData>
            </a:graphic>
          </wp:inline>
        </w:drawing>
      </w:r>
    </w:p>
    <w:p w14:paraId="51DA7EBA" w14:textId="20F03D40" w:rsidR="00CB2C69" w:rsidRPr="00336AE9" w:rsidRDefault="00CB2C69" w:rsidP="00CB2C69">
      <w:pPr>
        <w:pStyle w:val="Caption"/>
        <w:jc w:val="center"/>
        <w:rPr>
          <w:noProof/>
        </w:rPr>
      </w:pPr>
      <w:bookmarkStart w:id="0" w:name="_Ref138681618"/>
      <w:r>
        <w:t xml:space="preserve">Figure </w:t>
      </w:r>
      <w:r w:rsidR="00516775">
        <w:fldChar w:fldCharType="begin"/>
      </w:r>
      <w:r w:rsidR="00516775">
        <w:instrText xml:space="preserve"> SEQ Figure \* ARABIC </w:instrText>
      </w:r>
      <w:r w:rsidR="00516775">
        <w:fldChar w:fldCharType="separate"/>
      </w:r>
      <w:r w:rsidR="00247766">
        <w:rPr>
          <w:noProof/>
        </w:rPr>
        <w:t>1</w:t>
      </w:r>
      <w:r w:rsidR="00516775">
        <w:rPr>
          <w:noProof/>
        </w:rPr>
        <w:fldChar w:fldCharType="end"/>
      </w:r>
      <w:bookmarkEnd w:id="0"/>
      <w:r>
        <w:t>: UAV UE and gNodeB with SSB-</w:t>
      </w:r>
      <w:proofErr w:type="spellStart"/>
      <w:r>
        <w:t>ToMeasure</w:t>
      </w:r>
      <w:proofErr w:type="spellEnd"/>
      <w:r>
        <w:t xml:space="preserve"> Set</w:t>
      </w:r>
    </w:p>
    <w:p w14:paraId="23797C67" w14:textId="7AB4E9EA" w:rsidR="003C0A5F" w:rsidRPr="003C0A5F" w:rsidRDefault="003C0A5F" w:rsidP="00FA4164">
      <w:pPr>
        <w:rPr>
          <w:b/>
          <w:bCs/>
        </w:rPr>
      </w:pPr>
      <w:r>
        <w:rPr>
          <w:b/>
          <w:bCs/>
        </w:rPr>
        <w:t>Height Range Compatibility</w:t>
      </w:r>
    </w:p>
    <w:p w14:paraId="35C7B7E3" w14:textId="1AB18DB8" w:rsidR="001A347D" w:rsidRPr="00156236" w:rsidRDefault="00156236" w:rsidP="00FA4164">
      <w:r>
        <w:t xml:space="preserve">Although the </w:t>
      </w:r>
      <w:proofErr w:type="spellStart"/>
      <w:r>
        <w:rPr>
          <w:i/>
          <w:iCs/>
        </w:rPr>
        <w:t>ReportConfig</w:t>
      </w:r>
      <w:proofErr w:type="spellEnd"/>
      <w:r>
        <w:t xml:space="preserve"> is linked to </w:t>
      </w:r>
      <w:proofErr w:type="spellStart"/>
      <w:r>
        <w:rPr>
          <w:i/>
          <w:iCs/>
        </w:rPr>
        <w:t>MeasObjectNR</w:t>
      </w:r>
      <w:proofErr w:type="spellEnd"/>
      <w:r w:rsidR="00D30BC2">
        <w:t>(s)</w:t>
      </w:r>
      <w:r>
        <w:t xml:space="preserve">, they are configured separately. Even based on the agreements in RAN2#122 [1], </w:t>
      </w:r>
      <w:r w:rsidR="007B20D3">
        <w:t xml:space="preserve">the height ranges defined for height-dependent </w:t>
      </w:r>
      <w:proofErr w:type="spellStart"/>
      <w:r w:rsidR="007B20D3">
        <w:rPr>
          <w:i/>
          <w:iCs/>
        </w:rPr>
        <w:t>eventAx</w:t>
      </w:r>
      <w:proofErr w:type="spellEnd"/>
      <w:r w:rsidR="007B20D3">
        <w:t xml:space="preserve"> and height-dependent </w:t>
      </w:r>
      <w:r w:rsidR="007B20D3">
        <w:rPr>
          <w:i/>
          <w:iCs/>
        </w:rPr>
        <w:t>SSB-</w:t>
      </w:r>
      <w:proofErr w:type="spellStart"/>
      <w:r w:rsidR="00A44367">
        <w:rPr>
          <w:i/>
          <w:iCs/>
        </w:rPr>
        <w:t>ToMeasure</w:t>
      </w:r>
      <w:proofErr w:type="spellEnd"/>
      <w:r w:rsidR="00A44367">
        <w:rPr>
          <w:i/>
          <w:iCs/>
        </w:rPr>
        <w:t xml:space="preserve"> </w:t>
      </w:r>
      <w:r w:rsidR="00A44367">
        <w:t>take</w:t>
      </w:r>
      <w:r w:rsidR="007B20D3">
        <w:t xml:space="preserve"> on different forms. </w:t>
      </w:r>
      <w:r w:rsidR="00A44367">
        <w:t xml:space="preserve">Because the height ranges are specified separately, they cannot be linked with one another to ensure that they will be compatible. </w:t>
      </w:r>
    </w:p>
    <w:p w14:paraId="1B159BD7" w14:textId="245909ED" w:rsidR="001A347D" w:rsidRPr="00CC0C3B" w:rsidRDefault="001A347D" w:rsidP="001A347D">
      <w:pPr>
        <w:jc w:val="both"/>
        <w:rPr>
          <w:b/>
          <w:bCs/>
          <w:noProof/>
        </w:rPr>
      </w:pPr>
      <w:r w:rsidRPr="00CC0C3B">
        <w:rPr>
          <w:b/>
          <w:bCs/>
          <w:noProof/>
        </w:rPr>
        <w:t>Observation</w:t>
      </w:r>
      <w:r w:rsidR="00760484">
        <w:rPr>
          <w:b/>
          <w:bCs/>
          <w:noProof/>
        </w:rPr>
        <w:t xml:space="preserve"> 1</w:t>
      </w:r>
      <w:r w:rsidRPr="00CC0C3B">
        <w:rPr>
          <w:b/>
          <w:bCs/>
          <w:noProof/>
        </w:rPr>
        <w:t xml:space="preserve">: Based on current agreements, it is possible to configure height-dependent </w:t>
      </w:r>
      <w:r w:rsidRPr="00CC0C3B">
        <w:rPr>
          <w:b/>
          <w:bCs/>
          <w:i/>
          <w:iCs/>
          <w:noProof/>
        </w:rPr>
        <w:t>eventAx</w:t>
      </w:r>
      <w:r w:rsidRPr="00CC0C3B">
        <w:rPr>
          <w:b/>
          <w:bCs/>
          <w:noProof/>
        </w:rPr>
        <w:t xml:space="preserve"> with a height range that only partially overlaps a height-dependent </w:t>
      </w:r>
      <w:r w:rsidRPr="00CC0C3B">
        <w:rPr>
          <w:b/>
          <w:bCs/>
          <w:i/>
          <w:iCs/>
          <w:noProof/>
        </w:rPr>
        <w:t>SSB-ToMeasure</w:t>
      </w:r>
      <w:r w:rsidRPr="00CC0C3B">
        <w:rPr>
          <w:b/>
          <w:bCs/>
          <w:noProof/>
        </w:rPr>
        <w:t>.</w:t>
      </w:r>
    </w:p>
    <w:p w14:paraId="2708509D" w14:textId="21E1F39E" w:rsidR="001A347D" w:rsidRPr="00CC0C3B" w:rsidRDefault="001A347D" w:rsidP="001A347D">
      <w:pPr>
        <w:jc w:val="both"/>
        <w:rPr>
          <w:b/>
          <w:bCs/>
          <w:noProof/>
        </w:rPr>
      </w:pPr>
      <w:r w:rsidRPr="00CC0C3B">
        <w:rPr>
          <w:b/>
          <w:bCs/>
          <w:noProof/>
        </w:rPr>
        <w:t>Observation</w:t>
      </w:r>
      <w:r w:rsidR="00760484">
        <w:rPr>
          <w:b/>
          <w:bCs/>
          <w:noProof/>
        </w:rPr>
        <w:t xml:space="preserve"> 2</w:t>
      </w:r>
      <w:r w:rsidRPr="00CC0C3B">
        <w:rPr>
          <w:b/>
          <w:bCs/>
          <w:noProof/>
        </w:rPr>
        <w:t xml:space="preserve">: The behavior of a UE that switches height ranges only for one of height-dependent </w:t>
      </w:r>
      <w:r w:rsidRPr="00CC0C3B">
        <w:rPr>
          <w:b/>
          <w:bCs/>
          <w:i/>
          <w:iCs/>
          <w:noProof/>
        </w:rPr>
        <w:t>eventAx</w:t>
      </w:r>
      <w:r w:rsidRPr="00CC0C3B">
        <w:rPr>
          <w:b/>
          <w:bCs/>
          <w:noProof/>
        </w:rPr>
        <w:t xml:space="preserve"> or </w:t>
      </w:r>
      <w:r w:rsidRPr="00CC0C3B">
        <w:rPr>
          <w:b/>
          <w:bCs/>
          <w:i/>
          <w:iCs/>
          <w:noProof/>
        </w:rPr>
        <w:t>SSB-ToMeasure</w:t>
      </w:r>
      <w:r w:rsidRPr="00CC0C3B">
        <w:rPr>
          <w:b/>
          <w:bCs/>
          <w:noProof/>
        </w:rPr>
        <w:t xml:space="preserve"> is undefined.</w:t>
      </w:r>
    </w:p>
    <w:p w14:paraId="050951C8" w14:textId="4C100A5C" w:rsidR="001A347D" w:rsidRPr="0062596D" w:rsidRDefault="001A347D" w:rsidP="001A347D">
      <w:pPr>
        <w:jc w:val="both"/>
        <w:rPr>
          <w:noProof/>
        </w:rPr>
      </w:pPr>
      <w:r w:rsidRPr="72A74740">
        <w:rPr>
          <w:noProof/>
        </w:rPr>
        <w:t xml:space="preserve">For example, if it is allowed to configure an </w:t>
      </w:r>
      <w:r w:rsidRPr="72A74740">
        <w:rPr>
          <w:i/>
          <w:iCs/>
          <w:noProof/>
        </w:rPr>
        <w:t>eventAx</w:t>
      </w:r>
      <w:r w:rsidRPr="72A74740">
        <w:rPr>
          <w:noProof/>
        </w:rPr>
        <w:t xml:space="preserve"> between 10m and 20m, and two </w:t>
      </w:r>
      <w:r w:rsidRPr="72A74740">
        <w:rPr>
          <w:i/>
          <w:iCs/>
          <w:noProof/>
        </w:rPr>
        <w:t>SSB-ToMeasure</w:t>
      </w:r>
      <w:r w:rsidRPr="72A74740">
        <w:rPr>
          <w:noProof/>
        </w:rPr>
        <w:t>, one between 0m and 15m, and another between 15m and 30m, then the UE would need to do something at 15m, or near 15m depending on the hysteresis setting. The lack of synchronization between the height ranges could cause undesirable b</w:t>
      </w:r>
      <w:r w:rsidR="057FE3BB" w:rsidRPr="72A74740">
        <w:rPr>
          <w:noProof/>
        </w:rPr>
        <w:t>e</w:t>
      </w:r>
      <w:r w:rsidRPr="72A74740">
        <w:rPr>
          <w:noProof/>
        </w:rPr>
        <w:t>h</w:t>
      </w:r>
      <w:r w:rsidR="057FE3BB" w:rsidRPr="72A74740">
        <w:rPr>
          <w:noProof/>
        </w:rPr>
        <w:t>a</w:t>
      </w:r>
      <w:r w:rsidRPr="72A74740">
        <w:rPr>
          <w:noProof/>
        </w:rPr>
        <w:t>vior such as the UE needing to reset its measurements more often than is reasonable.</w:t>
      </w:r>
    </w:p>
    <w:p w14:paraId="519328B7" w14:textId="6952D940" w:rsidR="001A347D" w:rsidRPr="00CC0C3B" w:rsidRDefault="001A347D" w:rsidP="001A347D">
      <w:pPr>
        <w:jc w:val="both"/>
        <w:rPr>
          <w:b/>
          <w:bCs/>
          <w:i/>
          <w:iCs/>
          <w:noProof/>
        </w:rPr>
      </w:pPr>
      <w:r w:rsidRPr="00CC0C3B">
        <w:rPr>
          <w:b/>
          <w:bCs/>
          <w:noProof/>
        </w:rPr>
        <w:t>Proposal</w:t>
      </w:r>
      <w:r w:rsidR="00760484">
        <w:rPr>
          <w:b/>
          <w:bCs/>
          <w:noProof/>
        </w:rPr>
        <w:t xml:space="preserve"> 1</w:t>
      </w:r>
      <w:r w:rsidRPr="00CC0C3B">
        <w:rPr>
          <w:b/>
          <w:bCs/>
          <w:noProof/>
        </w:rPr>
        <w:t xml:space="preserve">: When height-depdendent </w:t>
      </w:r>
      <w:r w:rsidRPr="00CC0C3B">
        <w:rPr>
          <w:b/>
          <w:bCs/>
          <w:i/>
          <w:iCs/>
          <w:noProof/>
        </w:rPr>
        <w:t>eventAx</w:t>
      </w:r>
      <w:r w:rsidRPr="00CC0C3B">
        <w:rPr>
          <w:b/>
          <w:bCs/>
          <w:noProof/>
        </w:rPr>
        <w:t xml:space="preserve"> and </w:t>
      </w:r>
      <w:r w:rsidRPr="00CC0C3B">
        <w:rPr>
          <w:b/>
          <w:bCs/>
          <w:i/>
          <w:iCs/>
          <w:noProof/>
        </w:rPr>
        <w:t>SSB-ToMeasure</w:t>
      </w:r>
      <w:r w:rsidRPr="00CC0C3B">
        <w:rPr>
          <w:b/>
          <w:bCs/>
          <w:noProof/>
        </w:rPr>
        <w:t xml:space="preserve"> are configured simultaneously, the height ranges configured for </w:t>
      </w:r>
      <w:r w:rsidR="009600E8">
        <w:rPr>
          <w:b/>
          <w:bCs/>
          <w:noProof/>
        </w:rPr>
        <w:t xml:space="preserve">the </w:t>
      </w:r>
      <w:r w:rsidRPr="00CC0C3B">
        <w:rPr>
          <w:b/>
          <w:bCs/>
          <w:noProof/>
        </w:rPr>
        <w:t xml:space="preserve">parameter </w:t>
      </w:r>
      <w:r w:rsidR="009600E8">
        <w:rPr>
          <w:b/>
          <w:bCs/>
          <w:noProof/>
        </w:rPr>
        <w:t xml:space="preserve">with the least height </w:t>
      </w:r>
      <w:r w:rsidR="0010380A">
        <w:rPr>
          <w:b/>
          <w:bCs/>
          <w:noProof/>
        </w:rPr>
        <w:t xml:space="preserve">ranges </w:t>
      </w:r>
      <w:r w:rsidRPr="00CC0C3B">
        <w:rPr>
          <w:b/>
          <w:bCs/>
          <w:noProof/>
        </w:rPr>
        <w:t>must align with those of the other parameter.</w:t>
      </w:r>
    </w:p>
    <w:p w14:paraId="0D55CE77" w14:textId="4F71F1A7" w:rsidR="0033255F" w:rsidRDefault="0033255F" w:rsidP="00760484">
      <w:pPr>
        <w:pStyle w:val="Heading3"/>
      </w:pPr>
      <w:r>
        <w:t>2.</w:t>
      </w:r>
      <w:r w:rsidR="00760484">
        <w:t>1.2</w:t>
      </w:r>
      <w:r>
        <w:tab/>
      </w:r>
      <w:r w:rsidR="00A5420F">
        <w:t>Solutions</w:t>
      </w:r>
    </w:p>
    <w:p w14:paraId="2DABDAE7" w14:textId="65186FD0" w:rsidR="00FA4164" w:rsidRDefault="009B6D4F" w:rsidP="00FA4164">
      <w:r>
        <w:t>In a configuration</w:t>
      </w:r>
      <w:r w:rsidR="00FA4164">
        <w:t>-based solution</w:t>
      </w:r>
      <w:r>
        <w:t>, i</w:t>
      </w:r>
      <w:r w:rsidR="00010098">
        <w:t xml:space="preserve">t is possible that the UAV UE </w:t>
      </w:r>
      <w:r w:rsidR="006C1D2C">
        <w:t>could</w:t>
      </w:r>
      <w:r w:rsidR="00010098">
        <w:t xml:space="preserve"> measure all SSBs when under a certain </w:t>
      </w:r>
      <w:r w:rsidR="004A7D0C">
        <w:t>height and</w:t>
      </w:r>
      <w:r w:rsidR="00010098">
        <w:t xml:space="preserve"> use </w:t>
      </w:r>
      <w:r w:rsidR="00010098" w:rsidRPr="006C1D2C">
        <w:rPr>
          <w:i/>
          <w:iCs/>
        </w:rPr>
        <w:t>SSB-</w:t>
      </w:r>
      <w:proofErr w:type="spellStart"/>
      <w:r w:rsidR="00010098" w:rsidRPr="006C1D2C">
        <w:rPr>
          <w:i/>
          <w:iCs/>
        </w:rPr>
        <w:t>ToMeasure</w:t>
      </w:r>
      <w:proofErr w:type="spellEnd"/>
      <w:r w:rsidR="00010098">
        <w:t xml:space="preserve"> while above. In that scenario, perhaps the UAV UE always gets the strongest signal to the </w:t>
      </w:r>
      <w:r w:rsidR="00010098" w:rsidRPr="009B6D4F">
        <w:rPr>
          <w:i/>
          <w:iCs/>
        </w:rPr>
        <w:t>SSB-</w:t>
      </w:r>
      <w:proofErr w:type="spellStart"/>
      <w:r w:rsidR="00010098" w:rsidRPr="009B6D4F">
        <w:rPr>
          <w:i/>
          <w:iCs/>
        </w:rPr>
        <w:t>ToMeasure</w:t>
      </w:r>
      <w:proofErr w:type="spellEnd"/>
      <w:r w:rsidR="00010098">
        <w:t xml:space="preserve"> SSBs anyway.</w:t>
      </w:r>
      <w:r>
        <w:t xml:space="preserve"> Distant cells </w:t>
      </w:r>
      <w:r w:rsidR="00854B68">
        <w:t xml:space="preserve">should not have </w:t>
      </w:r>
      <w:r w:rsidR="00854B68" w:rsidRPr="00854B68">
        <w:rPr>
          <w:i/>
          <w:iCs/>
        </w:rPr>
        <w:t>SSB-</w:t>
      </w:r>
      <w:proofErr w:type="spellStart"/>
      <w:r w:rsidR="00854B68" w:rsidRPr="00854B68">
        <w:rPr>
          <w:i/>
          <w:iCs/>
        </w:rPr>
        <w:t>ToMeasure</w:t>
      </w:r>
      <w:proofErr w:type="spellEnd"/>
      <w:r w:rsidR="00854B68">
        <w:t xml:space="preserve"> set in the serving cell to avoid the issues described in the previous section.</w:t>
      </w:r>
    </w:p>
    <w:p w14:paraId="43EC5BA4" w14:textId="49AB6556" w:rsidR="00B668AB" w:rsidRPr="002E334C" w:rsidRDefault="00B668AB" w:rsidP="00FA4164">
      <w:pPr>
        <w:rPr>
          <w:b/>
          <w:bCs/>
        </w:rPr>
      </w:pPr>
      <w:r w:rsidRPr="002E334C">
        <w:rPr>
          <w:b/>
          <w:bCs/>
        </w:rPr>
        <w:t>Observation</w:t>
      </w:r>
      <w:r w:rsidR="00760484">
        <w:rPr>
          <w:b/>
          <w:bCs/>
        </w:rPr>
        <w:t xml:space="preserve"> 3</w:t>
      </w:r>
      <w:r w:rsidRPr="002E334C">
        <w:rPr>
          <w:b/>
          <w:bCs/>
        </w:rPr>
        <w:t xml:space="preserve">: A gNodeB </w:t>
      </w:r>
      <w:r w:rsidR="00151A62" w:rsidRPr="002E334C">
        <w:rPr>
          <w:b/>
          <w:bCs/>
        </w:rPr>
        <w:t>could</w:t>
      </w:r>
      <w:r w:rsidRPr="002E334C">
        <w:rPr>
          <w:b/>
          <w:bCs/>
        </w:rPr>
        <w:t xml:space="preserve"> </w:t>
      </w:r>
      <w:r w:rsidR="00151A62" w:rsidRPr="002E334C">
        <w:rPr>
          <w:b/>
          <w:bCs/>
        </w:rPr>
        <w:t xml:space="preserve">configure </w:t>
      </w:r>
      <w:r w:rsidR="00151A62" w:rsidRPr="002E334C">
        <w:rPr>
          <w:b/>
          <w:bCs/>
          <w:i/>
          <w:iCs/>
        </w:rPr>
        <w:t>SSB-</w:t>
      </w:r>
      <w:proofErr w:type="spellStart"/>
      <w:r w:rsidR="00151A62" w:rsidRPr="002E334C">
        <w:rPr>
          <w:b/>
          <w:bCs/>
          <w:i/>
          <w:iCs/>
        </w:rPr>
        <w:t>ToMeasure</w:t>
      </w:r>
      <w:proofErr w:type="spellEnd"/>
      <w:r w:rsidR="00151A62" w:rsidRPr="002E334C">
        <w:rPr>
          <w:b/>
          <w:bCs/>
        </w:rPr>
        <w:t xml:space="preserve"> only for near</w:t>
      </w:r>
      <w:r w:rsidR="00FD463D" w:rsidRPr="002E334C">
        <w:rPr>
          <w:b/>
          <w:bCs/>
        </w:rPr>
        <w:t>by</w:t>
      </w:r>
      <w:r w:rsidR="00151A62" w:rsidRPr="002E334C">
        <w:rPr>
          <w:b/>
          <w:bCs/>
        </w:rPr>
        <w:t xml:space="preserve"> </w:t>
      </w:r>
      <w:r w:rsidR="00B97CEB" w:rsidRPr="002E334C">
        <w:rPr>
          <w:b/>
          <w:bCs/>
        </w:rPr>
        <w:t>cells and</w:t>
      </w:r>
      <w:r w:rsidR="00FD463D" w:rsidRPr="002E334C">
        <w:rPr>
          <w:b/>
          <w:bCs/>
        </w:rPr>
        <w:t xml:space="preserve"> leave </w:t>
      </w:r>
      <w:r w:rsidR="00B97CEB">
        <w:rPr>
          <w:b/>
          <w:bCs/>
        </w:rPr>
        <w:t>the parameter</w:t>
      </w:r>
      <w:r w:rsidR="00FD463D" w:rsidRPr="002E334C">
        <w:rPr>
          <w:b/>
          <w:bCs/>
        </w:rPr>
        <w:t xml:space="preserve"> unconfigured for distant cells as not to negatively impact a UE’s ability to report potential interference.</w:t>
      </w:r>
      <w:r w:rsidR="00151A62" w:rsidRPr="002E334C">
        <w:rPr>
          <w:b/>
          <w:bCs/>
        </w:rPr>
        <w:t xml:space="preserve"> </w:t>
      </w:r>
    </w:p>
    <w:p w14:paraId="7E9DF8F1" w14:textId="199ABEE7" w:rsidR="00FA4164" w:rsidRDefault="00854B68" w:rsidP="00FA4164">
      <w:r>
        <w:t>I</w:t>
      </w:r>
      <w:r w:rsidR="002A1C51">
        <w:t>n</w:t>
      </w:r>
      <w:r>
        <w:t xml:space="preserve"> a s</w:t>
      </w:r>
      <w:r w:rsidR="00FA4164">
        <w:t>pecification-based solution</w:t>
      </w:r>
      <w:r w:rsidR="002A1C51">
        <w:t xml:space="preserve">, </w:t>
      </w:r>
      <w:r w:rsidR="00FA4164" w:rsidRPr="00854B68">
        <w:rPr>
          <w:i/>
          <w:iCs/>
        </w:rPr>
        <w:t>SSB-</w:t>
      </w:r>
      <w:proofErr w:type="spellStart"/>
      <w:r w:rsidR="00FA4164" w:rsidRPr="00854B68">
        <w:rPr>
          <w:i/>
          <w:iCs/>
        </w:rPr>
        <w:t>ToMeasure</w:t>
      </w:r>
      <w:proofErr w:type="spellEnd"/>
      <w:r>
        <w:t xml:space="preserve"> could be ignored</w:t>
      </w:r>
      <w:r w:rsidR="00FA4164">
        <w:t xml:space="preserve"> for interference reporting purposes</w:t>
      </w:r>
      <w:r w:rsidR="002A1C51">
        <w:t xml:space="preserve">, and the UE could report signal levels based on any SSB </w:t>
      </w:r>
      <w:r w:rsidR="0064304C">
        <w:t xml:space="preserve">when set with </w:t>
      </w:r>
      <w:proofErr w:type="spellStart"/>
      <w:r w:rsidR="0064304C">
        <w:rPr>
          <w:i/>
          <w:iCs/>
        </w:rPr>
        <w:t>numberOfTriggeringCell</w:t>
      </w:r>
      <w:r w:rsidR="00B668AB">
        <w:rPr>
          <w:i/>
          <w:iCs/>
        </w:rPr>
        <w:t>s</w:t>
      </w:r>
      <w:proofErr w:type="spellEnd"/>
      <w:r w:rsidR="00B668AB">
        <w:t>.</w:t>
      </w:r>
    </w:p>
    <w:p w14:paraId="1F30EBAC" w14:textId="7FB15F1B" w:rsidR="00B668AB" w:rsidRDefault="00B668AB" w:rsidP="00FA4164">
      <w:pPr>
        <w:rPr>
          <w:b/>
          <w:bCs/>
        </w:rPr>
      </w:pPr>
      <w:r w:rsidRPr="72A74740">
        <w:rPr>
          <w:b/>
          <w:bCs/>
        </w:rPr>
        <w:t>Proposal</w:t>
      </w:r>
      <w:r w:rsidR="00760484" w:rsidRPr="72A74740">
        <w:rPr>
          <w:b/>
          <w:bCs/>
        </w:rPr>
        <w:t xml:space="preserve"> 2</w:t>
      </w:r>
      <w:r w:rsidRPr="72A74740">
        <w:rPr>
          <w:b/>
          <w:bCs/>
        </w:rPr>
        <w:t xml:space="preserve">: </w:t>
      </w:r>
      <w:r w:rsidR="0074065B" w:rsidRPr="72A74740">
        <w:rPr>
          <w:b/>
          <w:bCs/>
        </w:rPr>
        <w:t>Study a method which a</w:t>
      </w:r>
      <w:r w:rsidRPr="72A74740">
        <w:rPr>
          <w:b/>
          <w:bCs/>
        </w:rPr>
        <w:t>llow</w:t>
      </w:r>
      <w:r w:rsidR="0074065B" w:rsidRPr="72A74740">
        <w:rPr>
          <w:b/>
          <w:bCs/>
        </w:rPr>
        <w:t>s</w:t>
      </w:r>
      <w:r w:rsidRPr="72A74740">
        <w:rPr>
          <w:b/>
          <w:bCs/>
        </w:rPr>
        <w:t xml:space="preserve"> </w:t>
      </w:r>
      <w:r w:rsidR="002E334C" w:rsidRPr="72A74740">
        <w:rPr>
          <w:b/>
          <w:bCs/>
        </w:rPr>
        <w:t>a</w:t>
      </w:r>
      <w:r w:rsidRPr="72A74740">
        <w:rPr>
          <w:b/>
          <w:bCs/>
        </w:rPr>
        <w:t xml:space="preserve"> UE </w:t>
      </w:r>
      <w:r w:rsidR="002E334C" w:rsidRPr="72A74740">
        <w:rPr>
          <w:b/>
          <w:bCs/>
        </w:rPr>
        <w:t xml:space="preserve">to </w:t>
      </w:r>
      <w:r w:rsidRPr="72A74740">
        <w:rPr>
          <w:b/>
          <w:bCs/>
        </w:rPr>
        <w:t xml:space="preserve">measure all </w:t>
      </w:r>
      <w:r w:rsidR="00000AFC">
        <w:rPr>
          <w:b/>
          <w:bCs/>
        </w:rPr>
        <w:t xml:space="preserve">detectable </w:t>
      </w:r>
      <w:r w:rsidRPr="72A74740">
        <w:rPr>
          <w:b/>
          <w:bCs/>
        </w:rPr>
        <w:t>SSBs</w:t>
      </w:r>
      <w:r w:rsidR="00000AFC">
        <w:rPr>
          <w:b/>
          <w:bCs/>
        </w:rPr>
        <w:t xml:space="preserve"> regardless of the SSB-</w:t>
      </w:r>
      <w:proofErr w:type="spellStart"/>
      <w:r w:rsidR="00000AFC">
        <w:rPr>
          <w:b/>
          <w:bCs/>
        </w:rPr>
        <w:t>ToMeasure</w:t>
      </w:r>
      <w:proofErr w:type="spellEnd"/>
      <w:r w:rsidR="00000AFC">
        <w:rPr>
          <w:b/>
          <w:bCs/>
        </w:rPr>
        <w:t xml:space="preserve"> configuration</w:t>
      </w:r>
      <w:r w:rsidRPr="72A74740">
        <w:rPr>
          <w:b/>
          <w:bCs/>
        </w:rPr>
        <w:t xml:space="preserve">, for </w:t>
      </w:r>
      <w:r w:rsidR="003A54D1" w:rsidRPr="72A74740">
        <w:rPr>
          <w:b/>
          <w:bCs/>
        </w:rPr>
        <w:t xml:space="preserve">the purpose </w:t>
      </w:r>
      <w:r w:rsidRPr="72A74740">
        <w:rPr>
          <w:b/>
          <w:bCs/>
        </w:rPr>
        <w:t xml:space="preserve">interference reporting, </w:t>
      </w:r>
      <w:r w:rsidR="003A54D1" w:rsidRPr="72A74740">
        <w:rPr>
          <w:b/>
          <w:bCs/>
        </w:rPr>
        <w:t>for events configured with</w:t>
      </w:r>
      <w:r w:rsidR="00F9052D" w:rsidRPr="72A74740">
        <w:rPr>
          <w:b/>
          <w:bCs/>
        </w:rPr>
        <w:t xml:space="preserve"> </w:t>
      </w:r>
      <w:proofErr w:type="spellStart"/>
      <w:r w:rsidR="00F9052D" w:rsidRPr="72A74740">
        <w:rPr>
          <w:b/>
          <w:bCs/>
        </w:rPr>
        <w:t>numberOfTriggeringCells</w:t>
      </w:r>
      <w:proofErr w:type="spellEnd"/>
      <w:r w:rsidRPr="72A74740">
        <w:rPr>
          <w:b/>
          <w:bCs/>
        </w:rPr>
        <w:t>.</w:t>
      </w:r>
    </w:p>
    <w:p w14:paraId="7D35627D" w14:textId="2D1ADA9D" w:rsidR="009903E0" w:rsidRDefault="00760484" w:rsidP="00060214">
      <w:pPr>
        <w:pStyle w:val="Heading2"/>
      </w:pPr>
      <w:r>
        <w:lastRenderedPageBreak/>
        <w:t xml:space="preserve">2.2 </w:t>
      </w:r>
      <w:r w:rsidR="00060214">
        <w:t>Definition of H1/H2 Entry/</w:t>
      </w:r>
      <w:r w:rsidR="2F6F313E">
        <w:t>Leave</w:t>
      </w:r>
      <w:r w:rsidR="00060214">
        <w:t xml:space="preserve"> Criteria</w:t>
      </w:r>
    </w:p>
    <w:p w14:paraId="42024A5C" w14:textId="2BB226D9" w:rsidR="00044AD5" w:rsidRDefault="00044AD5" w:rsidP="00060214">
      <w:r>
        <w:t>During RAN2#119, the following agreement was made regarding the reuse of events H1 and H2 from LTE</w:t>
      </w:r>
      <w:r w:rsidR="00DA6E81">
        <w:t xml:space="preserve"> </w:t>
      </w:r>
      <w:r w:rsidR="00DA6E81">
        <w:fldChar w:fldCharType="begin"/>
      </w:r>
      <w:r w:rsidR="00DA6E81">
        <w:instrText xml:space="preserve"> REF _Ref142512555 \r \h </w:instrText>
      </w:r>
      <w:r w:rsidR="00DA6E81">
        <w:fldChar w:fldCharType="separate"/>
      </w:r>
      <w:r w:rsidR="00DA6E81">
        <w:t>[4]</w:t>
      </w:r>
      <w:r w:rsidR="00DA6E81">
        <w:fldChar w:fldCharType="end"/>
      </w:r>
      <w:r>
        <w:t>.</w:t>
      </w:r>
    </w:p>
    <w:tbl>
      <w:tblPr>
        <w:tblStyle w:val="TableGrid"/>
        <w:tblW w:w="0" w:type="auto"/>
        <w:tblLook w:val="04A0" w:firstRow="1" w:lastRow="0" w:firstColumn="1" w:lastColumn="0" w:noHBand="0" w:noVBand="1"/>
      </w:tblPr>
      <w:tblGrid>
        <w:gridCol w:w="9631"/>
      </w:tblGrid>
      <w:tr w:rsidR="00044AD5" w14:paraId="614FAB18" w14:textId="77777777" w:rsidTr="00044AD5">
        <w:tc>
          <w:tcPr>
            <w:tcW w:w="9631" w:type="dxa"/>
          </w:tcPr>
          <w:p w14:paraId="4FF86262" w14:textId="77777777" w:rsidR="00CB4A2F" w:rsidRDefault="00CB4A2F" w:rsidP="004A03B2">
            <w:pPr>
              <w:spacing w:after="0"/>
            </w:pPr>
            <w:r>
              <w:t>Agreements</w:t>
            </w:r>
          </w:p>
          <w:p w14:paraId="771F8449" w14:textId="77777777" w:rsidR="00CB4A2F" w:rsidRDefault="00CB4A2F" w:rsidP="004A03B2">
            <w:pPr>
              <w:spacing w:after="0"/>
            </w:pPr>
            <w:r>
              <w:t>1</w:t>
            </w:r>
            <w:r>
              <w:tab/>
            </w:r>
            <w:r w:rsidRPr="004A03B2">
              <w:rPr>
                <w:highlight w:val="yellow"/>
              </w:rPr>
              <w:t>Use LTE principle as a baseline, introduce similar event H1 (aerial UE height become higher than threshold) and H2 (aerial UE height become lower than threshold.</w:t>
            </w:r>
            <w:r>
              <w:t xml:space="preserve">  </w:t>
            </w:r>
          </w:p>
          <w:p w14:paraId="6B3FB929" w14:textId="77777777" w:rsidR="00CB4A2F" w:rsidRDefault="00CB4A2F" w:rsidP="004A03B2">
            <w:pPr>
              <w:spacing w:after="0"/>
            </w:pPr>
            <w:r>
              <w:t xml:space="preserve">FFS if further NR enhancements are needed.  </w:t>
            </w:r>
          </w:p>
          <w:p w14:paraId="6D3A3A35" w14:textId="77777777" w:rsidR="00044AD5" w:rsidRDefault="00CB4A2F" w:rsidP="004A03B2">
            <w:pPr>
              <w:spacing w:after="0"/>
            </w:pPr>
            <w:r>
              <w:t>FFS study scaling of RRM parameters (</w:t>
            </w:r>
            <w:proofErr w:type="gramStart"/>
            <w:r>
              <w:t>e.g.</w:t>
            </w:r>
            <w:proofErr w:type="gramEnd"/>
            <w:r>
              <w:t xml:space="preserve"> which parameters and what is the purpose/benefit of the scaling and how)</w:t>
            </w:r>
          </w:p>
          <w:p w14:paraId="1A9F0356" w14:textId="6833EF14" w:rsidR="004A03B2" w:rsidRDefault="004A03B2" w:rsidP="004A03B2">
            <w:pPr>
              <w:spacing w:after="0"/>
            </w:pPr>
            <w:r w:rsidRPr="004A03B2">
              <w:t>FFS study the vertical movement and associated mobility for UAV UEs</w:t>
            </w:r>
          </w:p>
        </w:tc>
      </w:tr>
    </w:tbl>
    <w:p w14:paraId="63504481" w14:textId="77777777" w:rsidR="00DA6E81" w:rsidRDefault="00DA6E81" w:rsidP="00060214"/>
    <w:p w14:paraId="25F3FD10" w14:textId="22A7DCDB" w:rsidR="00DA6E81" w:rsidRPr="0099467A" w:rsidRDefault="008014B1" w:rsidP="00060214">
      <w:r>
        <w:t xml:space="preserve">In the LTE RRC specification </w:t>
      </w:r>
      <w:r>
        <w:fldChar w:fldCharType="begin"/>
      </w:r>
      <w:r>
        <w:instrText xml:space="preserve"> REF _Ref133918057 \r \h </w:instrText>
      </w:r>
      <w:r>
        <w:fldChar w:fldCharType="separate"/>
      </w:r>
      <w:r>
        <w:t>[2]</w:t>
      </w:r>
      <w:r>
        <w:fldChar w:fldCharType="end"/>
      </w:r>
      <w:r>
        <w:t>, there are two somewhat conflicting definitions</w:t>
      </w:r>
      <w:r w:rsidR="002D395A">
        <w:t>/descriptions</w:t>
      </w:r>
      <w:r>
        <w:t xml:space="preserve"> of the triggering conditions for </w:t>
      </w:r>
      <w:r w:rsidR="00EA0D2C">
        <w:t>E</w:t>
      </w:r>
      <w:r>
        <w:t>vents H1 and</w:t>
      </w:r>
      <w:r w:rsidR="00EA0D2C">
        <w:t xml:space="preserve"> Event</w:t>
      </w:r>
      <w:r>
        <w:t xml:space="preserve"> H2. In the headers for the sections of procedural text that define Event H1 (see </w:t>
      </w:r>
      <w:r>
        <w:fldChar w:fldCharType="begin"/>
      </w:r>
      <w:r>
        <w:instrText xml:space="preserve"> REF _Ref142512639 \h </w:instrText>
      </w:r>
      <w:r>
        <w:fldChar w:fldCharType="separate"/>
      </w:r>
      <w:r>
        <w:t xml:space="preserve">Figure </w:t>
      </w:r>
      <w:r>
        <w:rPr>
          <w:noProof/>
        </w:rPr>
        <w:t>2</w:t>
      </w:r>
      <w:r>
        <w:fldChar w:fldCharType="end"/>
      </w:r>
      <w:r>
        <w:t xml:space="preserve">) and Event H2 (see </w:t>
      </w:r>
      <w:r>
        <w:fldChar w:fldCharType="begin"/>
      </w:r>
      <w:r>
        <w:instrText xml:space="preserve"> REF _Ref142512669 \h </w:instrText>
      </w:r>
      <w:r>
        <w:fldChar w:fldCharType="separate"/>
      </w:r>
      <w:r>
        <w:t xml:space="preserve">Figure </w:t>
      </w:r>
      <w:r>
        <w:rPr>
          <w:noProof/>
        </w:rPr>
        <w:t>3</w:t>
      </w:r>
      <w:r>
        <w:fldChar w:fldCharType="end"/>
      </w:r>
      <w:r>
        <w:t xml:space="preserve">), </w:t>
      </w:r>
      <w:r w:rsidR="00B26A11">
        <w:t xml:space="preserve">it is written that </w:t>
      </w:r>
      <w:r w:rsidR="0099467A">
        <w:t>Event H1</w:t>
      </w:r>
      <w:r w:rsidR="00B26A11">
        <w:t xml:space="preserve"> is applicable when “the aerial UE height </w:t>
      </w:r>
      <w:r w:rsidR="00B26A11">
        <w:rPr>
          <w:b/>
          <w:bCs/>
        </w:rPr>
        <w:t xml:space="preserve">is </w:t>
      </w:r>
      <w:r w:rsidR="00B26A11">
        <w:t xml:space="preserve">above a threshold” </w:t>
      </w:r>
      <w:r w:rsidR="0099467A">
        <w:t xml:space="preserve">and that Event H2 is applicable when “the aerial UE height </w:t>
      </w:r>
      <w:r w:rsidR="0099467A">
        <w:rPr>
          <w:b/>
          <w:bCs/>
        </w:rPr>
        <w:t>is</w:t>
      </w:r>
      <w:r w:rsidR="0099467A">
        <w:t xml:space="preserve"> </w:t>
      </w:r>
      <w:r w:rsidR="00654376">
        <w:t xml:space="preserve">below a threshold.” However, </w:t>
      </w:r>
      <w:r w:rsidR="0021226C">
        <w:t xml:space="preserve">it is written </w:t>
      </w:r>
      <w:r w:rsidR="00654376">
        <w:t xml:space="preserve">in the section that specifies the related ASN.1 IEs, </w:t>
      </w:r>
      <w:r w:rsidR="00EA0D2C">
        <w:t xml:space="preserve">shown in </w:t>
      </w:r>
      <w:r w:rsidR="00EA0D2C">
        <w:fldChar w:fldCharType="begin"/>
      </w:r>
      <w:r w:rsidR="00EA0D2C">
        <w:instrText xml:space="preserve"> REF _Ref142512807 \h </w:instrText>
      </w:r>
      <w:r w:rsidR="00EA0D2C">
        <w:fldChar w:fldCharType="separate"/>
      </w:r>
      <w:r w:rsidR="00EA0D2C">
        <w:t xml:space="preserve">Figure </w:t>
      </w:r>
      <w:r w:rsidR="00EA0D2C">
        <w:rPr>
          <w:noProof/>
        </w:rPr>
        <w:t>4</w:t>
      </w:r>
      <w:r w:rsidR="00EA0D2C">
        <w:fldChar w:fldCharType="end"/>
      </w:r>
      <w:r w:rsidR="00EA0D2C">
        <w:t xml:space="preserve">, </w:t>
      </w:r>
      <w:r w:rsidR="0021226C">
        <w:t xml:space="preserve">that </w:t>
      </w:r>
      <w:r w:rsidR="00EA0D2C">
        <w:t>Event H1 and Event H2</w:t>
      </w:r>
      <w:r w:rsidR="00654376">
        <w:t xml:space="preserve"> </w:t>
      </w:r>
      <w:r w:rsidR="009C4C8B">
        <w:t>are applicable when an “a</w:t>
      </w:r>
      <w:r w:rsidR="009C4C8B" w:rsidRPr="009C4C8B">
        <w:t xml:space="preserve">erial UE height </w:t>
      </w:r>
      <w:r w:rsidR="009C4C8B" w:rsidRPr="009C4C8B">
        <w:rPr>
          <w:b/>
          <w:bCs/>
        </w:rPr>
        <w:t>becomes</w:t>
      </w:r>
      <w:r w:rsidR="009C4C8B" w:rsidRPr="009C4C8B">
        <w:t xml:space="preserve"> higher than absolute threshold</w:t>
      </w:r>
      <w:r w:rsidR="009C4C8B">
        <w:t>” and when an “a</w:t>
      </w:r>
      <w:r w:rsidR="009C4C8B" w:rsidRPr="009C4C8B">
        <w:t xml:space="preserve">erial UE height </w:t>
      </w:r>
      <w:r w:rsidR="009C4C8B" w:rsidRPr="009C4C8B">
        <w:rPr>
          <w:b/>
          <w:bCs/>
        </w:rPr>
        <w:t>becomes</w:t>
      </w:r>
      <w:r w:rsidR="009C4C8B" w:rsidRPr="009C4C8B">
        <w:t xml:space="preserve"> lower than absolute threshold</w:t>
      </w:r>
      <w:r w:rsidR="009C4C8B">
        <w:t>”, respectively.</w:t>
      </w:r>
    </w:p>
    <w:p w14:paraId="58A0F375" w14:textId="7B7F261C" w:rsidR="0062506B" w:rsidRPr="005152ED" w:rsidRDefault="0062506B" w:rsidP="00060214">
      <w:pPr>
        <w:rPr>
          <w:b/>
          <w:bCs/>
        </w:rPr>
      </w:pPr>
      <w:r w:rsidRPr="005152ED">
        <w:rPr>
          <w:b/>
          <w:bCs/>
        </w:rPr>
        <w:t>Observation</w:t>
      </w:r>
      <w:r w:rsidR="00760484">
        <w:rPr>
          <w:b/>
          <w:bCs/>
        </w:rPr>
        <w:t xml:space="preserve"> 4</w:t>
      </w:r>
      <w:r w:rsidRPr="005152ED">
        <w:rPr>
          <w:b/>
          <w:bCs/>
        </w:rPr>
        <w:t xml:space="preserve">: </w:t>
      </w:r>
      <w:r w:rsidR="000C5E67" w:rsidRPr="005152ED">
        <w:rPr>
          <w:b/>
          <w:bCs/>
        </w:rPr>
        <w:t>In the procedural text of the LTE RRC specification, the trigger for Event H1 and Event H2 is defined as the UE being above or below a threshold, respectively.</w:t>
      </w:r>
    </w:p>
    <w:p w14:paraId="418095EC" w14:textId="2C6D02D9" w:rsidR="000C5E67" w:rsidRPr="005152ED" w:rsidRDefault="000C5E67" w:rsidP="00060214">
      <w:pPr>
        <w:rPr>
          <w:b/>
          <w:bCs/>
        </w:rPr>
      </w:pPr>
      <w:r w:rsidRPr="005152ED">
        <w:rPr>
          <w:b/>
          <w:bCs/>
        </w:rPr>
        <w:t>Observation</w:t>
      </w:r>
      <w:r w:rsidR="00760484">
        <w:rPr>
          <w:b/>
          <w:bCs/>
        </w:rPr>
        <w:t xml:space="preserve"> 5</w:t>
      </w:r>
      <w:r w:rsidRPr="005152ED">
        <w:rPr>
          <w:b/>
          <w:bCs/>
        </w:rPr>
        <w:t>: In the ASN.1 definition text of the LTE RRC specification, the trigger for Event H1 and Event H2 is defined as the UE crossing above or below an absolute threshold.</w:t>
      </w:r>
    </w:p>
    <w:p w14:paraId="4998F632" w14:textId="7D0A48CE" w:rsidR="005152ED" w:rsidRDefault="00936DB1" w:rsidP="005152ED">
      <w:r>
        <w:t xml:space="preserve">It needs to be decided whether </w:t>
      </w:r>
      <w:r w:rsidR="00B96722">
        <w:t xml:space="preserve">Event H1 and Event H2 are triggered </w:t>
      </w:r>
      <w:r w:rsidR="0062506B">
        <w:t xml:space="preserve">when the height of the aerial UE </w:t>
      </w:r>
      <w:r w:rsidR="0062506B">
        <w:rPr>
          <w:b/>
          <w:bCs/>
        </w:rPr>
        <w:t>is</w:t>
      </w:r>
      <w:r w:rsidR="0062506B">
        <w:t xml:space="preserve"> above or below a threshold; or whether Event H1 and Event H2 are triggered when the height of the aerial UE </w:t>
      </w:r>
      <w:r w:rsidR="0062506B">
        <w:rPr>
          <w:b/>
          <w:bCs/>
        </w:rPr>
        <w:t>becomes</w:t>
      </w:r>
      <w:r w:rsidR="0062506B">
        <w:t xml:space="preserve"> higher or lower than a threshold.</w:t>
      </w:r>
      <w:r w:rsidR="00A97E9D">
        <w:t xml:space="preserve"> </w:t>
      </w:r>
    </w:p>
    <w:tbl>
      <w:tblPr>
        <w:tblStyle w:val="TableGrid"/>
        <w:tblW w:w="0" w:type="auto"/>
        <w:tblLook w:val="04A0" w:firstRow="1" w:lastRow="0" w:firstColumn="1" w:lastColumn="0" w:noHBand="0" w:noVBand="1"/>
      </w:tblPr>
      <w:tblGrid>
        <w:gridCol w:w="9631"/>
      </w:tblGrid>
      <w:tr w:rsidR="00D1153D" w14:paraId="3C3AAAC3" w14:textId="77777777" w:rsidTr="72A74740">
        <w:tc>
          <w:tcPr>
            <w:tcW w:w="9631" w:type="dxa"/>
          </w:tcPr>
          <w:p w14:paraId="70EAF70D" w14:textId="77777777" w:rsidR="00D1153D" w:rsidRPr="00BA1B34" w:rsidRDefault="00D1153D" w:rsidP="00D1153D">
            <w:pPr>
              <w:pStyle w:val="Heading4"/>
              <w:rPr>
                <w:lang w:eastAsia="zh-CN"/>
              </w:rPr>
            </w:pPr>
            <w:bookmarkStart w:id="1" w:name="_Toc20486956"/>
            <w:bookmarkStart w:id="2" w:name="_Toc29342248"/>
            <w:bookmarkStart w:id="3" w:name="_Toc29343387"/>
            <w:bookmarkStart w:id="4" w:name="_Toc36566639"/>
            <w:bookmarkStart w:id="5" w:name="_Toc36810053"/>
            <w:bookmarkStart w:id="6" w:name="_Toc36846417"/>
            <w:bookmarkStart w:id="7" w:name="_Toc36939070"/>
            <w:bookmarkStart w:id="8" w:name="_Toc37082050"/>
            <w:bookmarkStart w:id="9" w:name="_Toc46480677"/>
            <w:bookmarkStart w:id="10" w:name="_Toc46481911"/>
            <w:bookmarkStart w:id="11" w:name="_Toc46483145"/>
            <w:bookmarkStart w:id="12" w:name="_Toc115702241"/>
            <w:r w:rsidRPr="00BA1B34">
              <w:t>5.5.4.16</w:t>
            </w:r>
            <w:r w:rsidRPr="00BA1B34">
              <w:tab/>
              <w:t>Event H1 (The Aerial UE height is above a threshold)</w:t>
            </w:r>
            <w:bookmarkEnd w:id="1"/>
            <w:bookmarkEnd w:id="2"/>
            <w:bookmarkEnd w:id="3"/>
            <w:bookmarkEnd w:id="4"/>
            <w:bookmarkEnd w:id="5"/>
            <w:bookmarkEnd w:id="6"/>
            <w:bookmarkEnd w:id="7"/>
            <w:bookmarkEnd w:id="8"/>
            <w:bookmarkEnd w:id="9"/>
            <w:bookmarkEnd w:id="10"/>
            <w:bookmarkEnd w:id="11"/>
            <w:bookmarkEnd w:id="12"/>
          </w:p>
          <w:p w14:paraId="0114AA1C" w14:textId="77777777" w:rsidR="00D1153D" w:rsidRPr="00BA1B34" w:rsidRDefault="00D1153D" w:rsidP="00D1153D">
            <w:r w:rsidRPr="00BA1B34">
              <w:t>The UE shall:</w:t>
            </w:r>
          </w:p>
          <w:p w14:paraId="10CE955E" w14:textId="77777777" w:rsidR="00D1153D" w:rsidRPr="00BA1B34" w:rsidRDefault="00D1153D" w:rsidP="00D1153D">
            <w:pPr>
              <w:pStyle w:val="B1"/>
            </w:pPr>
            <w:r w:rsidRPr="00BA1B34">
              <w:t>1&gt;</w:t>
            </w:r>
            <w:r w:rsidRPr="00BA1B34">
              <w:tab/>
              <w:t xml:space="preserve">consider the entering condition for this event to be satisfied when condition H1-1, as specified below, is </w:t>
            </w:r>
            <w:proofErr w:type="gramStart"/>
            <w:r w:rsidRPr="00BA1B34">
              <w:t>fulfilled;</w:t>
            </w:r>
            <w:proofErr w:type="gramEnd"/>
          </w:p>
          <w:p w14:paraId="6044FC88" w14:textId="77777777" w:rsidR="00D1153D" w:rsidRPr="00BA1B34" w:rsidRDefault="00D1153D" w:rsidP="00D1153D">
            <w:pPr>
              <w:pStyle w:val="B1"/>
            </w:pPr>
            <w:r w:rsidRPr="00BA1B34">
              <w:t>1&gt;</w:t>
            </w:r>
            <w:r w:rsidRPr="00BA1B34">
              <w:tab/>
              <w:t xml:space="preserve">consider the leaving condition for this event to be satisfied when condition H1-2, as specified below, is </w:t>
            </w:r>
            <w:proofErr w:type="gramStart"/>
            <w:r w:rsidRPr="00BA1B34">
              <w:t>fulfilled;</w:t>
            </w:r>
            <w:proofErr w:type="gramEnd"/>
          </w:p>
          <w:p w14:paraId="5198DA64" w14:textId="77777777" w:rsidR="00D1153D" w:rsidRPr="00BA1B34" w:rsidRDefault="00D1153D" w:rsidP="00D1153D">
            <w:r w:rsidRPr="00BA1B34">
              <w:rPr>
                <w:lang w:eastAsia="ko-KR"/>
              </w:rPr>
              <w:t>Inequality</w:t>
            </w:r>
            <w:r w:rsidRPr="00BA1B34">
              <w:t xml:space="preserve"> H1-1 (Entering condition)</w:t>
            </w:r>
          </w:p>
          <w:p w14:paraId="6FFEFC8D" w14:textId="77777777" w:rsidR="00D1153D" w:rsidRPr="00BA1B34" w:rsidRDefault="00D1153D" w:rsidP="00D1153D">
            <w:pPr>
              <w:pStyle w:val="EQ"/>
            </w:pPr>
            <w:r w:rsidRPr="00BA1B34">
              <w:rPr>
                <w:position w:val="-10"/>
              </w:rPr>
              <w:object w:dxaOrig="2720" w:dyaOrig="320" w14:anchorId="6A980F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75pt;height:15.75pt" o:ole="" fillcolor="yellow">
                  <v:imagedata r:id="rId14" o:title=""/>
                </v:shape>
                <o:OLEObject Type="Embed" ProgID="Equation.3" ShapeID="_x0000_i1025" DrawAspect="Content" ObjectID="_1753199643" r:id="rId15"/>
              </w:object>
            </w:r>
          </w:p>
          <w:p w14:paraId="242B9F57" w14:textId="77777777" w:rsidR="00D1153D" w:rsidRPr="00BA1B34" w:rsidRDefault="00D1153D" w:rsidP="00D1153D">
            <w:r w:rsidRPr="00BA1B34">
              <w:rPr>
                <w:lang w:eastAsia="ko-KR"/>
              </w:rPr>
              <w:t>Inequality</w:t>
            </w:r>
            <w:r w:rsidRPr="00BA1B34">
              <w:t xml:space="preserve"> H1-2 (Leaving condition)</w:t>
            </w:r>
          </w:p>
          <w:p w14:paraId="050F6FA4" w14:textId="3B592142" w:rsidR="00D1153D" w:rsidRDefault="00D1153D" w:rsidP="00EB55CB">
            <w:pPr>
              <w:keepNext/>
            </w:pPr>
            <w:r w:rsidRPr="00BA1B34">
              <w:rPr>
                <w:position w:val="-10"/>
              </w:rPr>
              <w:object w:dxaOrig="2720" w:dyaOrig="320" w14:anchorId="66A206C7">
                <v:shape id="_x0000_i1026" type="#_x0000_t75" style="width:135.75pt;height:15.75pt" o:ole="">
                  <v:imagedata r:id="rId16" o:title=""/>
                </v:shape>
                <o:OLEObject Type="Embed" ProgID="Equation.3" ShapeID="_x0000_i1026" DrawAspect="Content" ObjectID="_1753199644" r:id="rId17"/>
              </w:object>
            </w:r>
          </w:p>
        </w:tc>
      </w:tr>
    </w:tbl>
    <w:p w14:paraId="326FF980" w14:textId="243E1C19" w:rsidR="000C4FD2" w:rsidRDefault="00EB55CB" w:rsidP="00EB55CB">
      <w:pPr>
        <w:pStyle w:val="Caption"/>
        <w:jc w:val="center"/>
      </w:pPr>
      <w:bookmarkStart w:id="13" w:name="_Ref142512639"/>
      <w:r>
        <w:t xml:space="preserve">Figure </w:t>
      </w:r>
      <w:r w:rsidR="00516775">
        <w:fldChar w:fldCharType="begin"/>
      </w:r>
      <w:r w:rsidR="00516775">
        <w:instrText xml:space="preserve"> SEQ Figure \* ARABIC </w:instrText>
      </w:r>
      <w:r w:rsidR="00516775">
        <w:fldChar w:fldCharType="separate"/>
      </w:r>
      <w:r w:rsidR="00247766">
        <w:rPr>
          <w:noProof/>
        </w:rPr>
        <w:t>2</w:t>
      </w:r>
      <w:r w:rsidR="00516775">
        <w:rPr>
          <w:noProof/>
        </w:rPr>
        <w:fldChar w:fldCharType="end"/>
      </w:r>
      <w:bookmarkEnd w:id="13"/>
      <w:r>
        <w:t xml:space="preserve">: </w:t>
      </w:r>
      <w:r w:rsidRPr="00F063B4">
        <w:t>Event H1 Definition from Procedural Text</w:t>
      </w:r>
      <w:r>
        <w:t xml:space="preserve"> </w:t>
      </w:r>
      <w:r w:rsidR="00C10BE5">
        <w:fldChar w:fldCharType="begin"/>
      </w:r>
      <w:r w:rsidR="00C10BE5">
        <w:instrText xml:space="preserve"> REF _Ref133918202 \r \h </w:instrText>
      </w:r>
      <w:r w:rsidR="00C10BE5">
        <w:fldChar w:fldCharType="separate"/>
      </w:r>
      <w:r w:rsidR="00C10BE5">
        <w:t>[3]</w:t>
      </w:r>
      <w:r w:rsidR="00C10BE5">
        <w:fldChar w:fldCharType="end"/>
      </w:r>
    </w:p>
    <w:tbl>
      <w:tblPr>
        <w:tblStyle w:val="TableGrid"/>
        <w:tblW w:w="0" w:type="auto"/>
        <w:tblLook w:val="04A0" w:firstRow="1" w:lastRow="0" w:firstColumn="1" w:lastColumn="0" w:noHBand="0" w:noVBand="1"/>
      </w:tblPr>
      <w:tblGrid>
        <w:gridCol w:w="9631"/>
      </w:tblGrid>
      <w:tr w:rsidR="00367710" w14:paraId="41D8BF92" w14:textId="77777777" w:rsidTr="72A74740">
        <w:tc>
          <w:tcPr>
            <w:tcW w:w="9631" w:type="dxa"/>
          </w:tcPr>
          <w:p w14:paraId="7194B486" w14:textId="77777777" w:rsidR="00367710" w:rsidRPr="00BA1B34" w:rsidRDefault="00367710" w:rsidP="00367710">
            <w:pPr>
              <w:pStyle w:val="Heading4"/>
              <w:rPr>
                <w:lang w:eastAsia="zh-CN"/>
              </w:rPr>
            </w:pPr>
            <w:bookmarkStart w:id="14" w:name="_Toc20486957"/>
            <w:bookmarkStart w:id="15" w:name="_Toc29342249"/>
            <w:bookmarkStart w:id="16" w:name="_Toc29343388"/>
            <w:bookmarkStart w:id="17" w:name="_Toc36566640"/>
            <w:bookmarkStart w:id="18" w:name="_Toc36810054"/>
            <w:bookmarkStart w:id="19" w:name="_Toc36846418"/>
            <w:bookmarkStart w:id="20" w:name="_Toc36939071"/>
            <w:bookmarkStart w:id="21" w:name="_Toc37082051"/>
            <w:bookmarkStart w:id="22" w:name="_Toc46480678"/>
            <w:bookmarkStart w:id="23" w:name="_Toc46481912"/>
            <w:bookmarkStart w:id="24" w:name="_Toc46483146"/>
            <w:bookmarkStart w:id="25" w:name="_Toc115702242"/>
            <w:r w:rsidRPr="00BA1B34">
              <w:lastRenderedPageBreak/>
              <w:t>5.5.4.17</w:t>
            </w:r>
            <w:r w:rsidRPr="00BA1B34">
              <w:tab/>
              <w:t>Event H2 (The Aerial UE height is below a threshold)</w:t>
            </w:r>
            <w:bookmarkEnd w:id="14"/>
            <w:bookmarkEnd w:id="15"/>
            <w:bookmarkEnd w:id="16"/>
            <w:bookmarkEnd w:id="17"/>
            <w:bookmarkEnd w:id="18"/>
            <w:bookmarkEnd w:id="19"/>
            <w:bookmarkEnd w:id="20"/>
            <w:bookmarkEnd w:id="21"/>
            <w:bookmarkEnd w:id="22"/>
            <w:bookmarkEnd w:id="23"/>
            <w:bookmarkEnd w:id="24"/>
            <w:bookmarkEnd w:id="25"/>
          </w:p>
          <w:p w14:paraId="70DE7210" w14:textId="77777777" w:rsidR="00367710" w:rsidRPr="00BA1B34" w:rsidRDefault="00367710" w:rsidP="00367710">
            <w:r w:rsidRPr="00BA1B34">
              <w:t>The UE shall:</w:t>
            </w:r>
          </w:p>
          <w:p w14:paraId="20CAB38B" w14:textId="77777777" w:rsidR="00367710" w:rsidRPr="00BA1B34" w:rsidRDefault="00367710" w:rsidP="00367710">
            <w:pPr>
              <w:pStyle w:val="B1"/>
            </w:pPr>
            <w:r w:rsidRPr="00BA1B34">
              <w:t>1&gt;</w:t>
            </w:r>
            <w:r w:rsidRPr="00BA1B34">
              <w:tab/>
              <w:t xml:space="preserve">consider the entering condition for this event to be satisfied when condition H2-1, as specified below, is </w:t>
            </w:r>
            <w:proofErr w:type="gramStart"/>
            <w:r w:rsidRPr="00BA1B34">
              <w:t>fulfilled;</w:t>
            </w:r>
            <w:proofErr w:type="gramEnd"/>
          </w:p>
          <w:p w14:paraId="1B56AC59" w14:textId="77777777" w:rsidR="00367710" w:rsidRPr="00BA1B34" w:rsidRDefault="00367710" w:rsidP="00367710">
            <w:pPr>
              <w:pStyle w:val="B1"/>
            </w:pPr>
            <w:r w:rsidRPr="00BA1B34">
              <w:t>1&gt;</w:t>
            </w:r>
            <w:r w:rsidRPr="00BA1B34">
              <w:tab/>
              <w:t xml:space="preserve">consider the leaving condition for this event to be satisfied when condition H2-2, as specified below, is </w:t>
            </w:r>
            <w:proofErr w:type="gramStart"/>
            <w:r w:rsidRPr="00BA1B34">
              <w:t>fulfilled;</w:t>
            </w:r>
            <w:proofErr w:type="gramEnd"/>
          </w:p>
          <w:p w14:paraId="671E856E" w14:textId="77777777" w:rsidR="00367710" w:rsidRPr="00BA1B34" w:rsidRDefault="00367710" w:rsidP="00367710">
            <w:r w:rsidRPr="00BA1B34">
              <w:rPr>
                <w:lang w:eastAsia="ko-KR"/>
              </w:rPr>
              <w:t>Inequality</w:t>
            </w:r>
            <w:r w:rsidRPr="00BA1B34">
              <w:t xml:space="preserve"> H2-1 (Entering condition)</w:t>
            </w:r>
          </w:p>
          <w:p w14:paraId="18F1C885" w14:textId="77777777" w:rsidR="00367710" w:rsidRPr="00BA1B34" w:rsidRDefault="00367710" w:rsidP="00367710">
            <w:pPr>
              <w:pStyle w:val="EQ"/>
            </w:pPr>
            <w:r w:rsidRPr="00BA1B34">
              <w:rPr>
                <w:position w:val="-10"/>
              </w:rPr>
              <w:object w:dxaOrig="2720" w:dyaOrig="320" w14:anchorId="333A0F7E">
                <v:shape id="_x0000_i1027" type="#_x0000_t75" style="width:135.75pt;height:15.75pt" o:ole="" fillcolor="yellow">
                  <v:imagedata r:id="rId18" o:title=""/>
                </v:shape>
                <o:OLEObject Type="Embed" ProgID="Equation.3" ShapeID="_x0000_i1027" DrawAspect="Content" ObjectID="_1753199645" r:id="rId19"/>
              </w:object>
            </w:r>
          </w:p>
          <w:p w14:paraId="0EA65DF4" w14:textId="77777777" w:rsidR="00367710" w:rsidRPr="00BA1B34" w:rsidRDefault="00367710" w:rsidP="00367710">
            <w:r w:rsidRPr="00BA1B34">
              <w:rPr>
                <w:lang w:eastAsia="ko-KR"/>
              </w:rPr>
              <w:t>Inequality</w:t>
            </w:r>
            <w:r w:rsidRPr="00BA1B34">
              <w:t xml:space="preserve"> H2-2 (Leaving condition)</w:t>
            </w:r>
          </w:p>
          <w:p w14:paraId="4A372D7C" w14:textId="551F2364" w:rsidR="00367710" w:rsidRDefault="00367710" w:rsidP="00C10BE5">
            <w:r w:rsidRPr="00BA1B34">
              <w:rPr>
                <w:position w:val="-10"/>
              </w:rPr>
              <w:object w:dxaOrig="2720" w:dyaOrig="320" w14:anchorId="55712B3D">
                <v:shape id="_x0000_i1028" type="#_x0000_t75" style="width:135.75pt;height:15.75pt" o:ole="">
                  <v:imagedata r:id="rId20" o:title=""/>
                </v:shape>
                <o:OLEObject Type="Embed" ProgID="Equation.3" ShapeID="_x0000_i1028" DrawAspect="Content" ObjectID="_1753199646" r:id="rId21"/>
              </w:object>
            </w:r>
          </w:p>
        </w:tc>
      </w:tr>
    </w:tbl>
    <w:p w14:paraId="4560BBB2" w14:textId="312FB7AD" w:rsidR="000C4FD2" w:rsidRDefault="00C10BE5" w:rsidP="00C10BE5">
      <w:pPr>
        <w:pStyle w:val="Caption"/>
        <w:jc w:val="center"/>
      </w:pPr>
      <w:bookmarkStart w:id="26" w:name="_Ref142512669"/>
      <w:r>
        <w:t xml:space="preserve">Figure </w:t>
      </w:r>
      <w:r w:rsidR="00516775">
        <w:fldChar w:fldCharType="begin"/>
      </w:r>
      <w:r w:rsidR="00516775">
        <w:instrText xml:space="preserve"> SEQ Figure \* ARABIC </w:instrText>
      </w:r>
      <w:r w:rsidR="00516775">
        <w:fldChar w:fldCharType="separate"/>
      </w:r>
      <w:r w:rsidR="00247766">
        <w:rPr>
          <w:noProof/>
        </w:rPr>
        <w:t>3</w:t>
      </w:r>
      <w:r w:rsidR="00516775">
        <w:rPr>
          <w:noProof/>
        </w:rPr>
        <w:fldChar w:fldCharType="end"/>
      </w:r>
      <w:bookmarkEnd w:id="26"/>
      <w:r>
        <w:t xml:space="preserve">: </w:t>
      </w:r>
      <w:r w:rsidRPr="00E0006A">
        <w:t>Event H</w:t>
      </w:r>
      <w:r>
        <w:t>2</w:t>
      </w:r>
      <w:r w:rsidRPr="00E0006A">
        <w:t xml:space="preserve"> Definition from Procedural Text</w:t>
      </w:r>
      <w:r>
        <w:t xml:space="preserve"> </w:t>
      </w:r>
      <w:r>
        <w:fldChar w:fldCharType="begin"/>
      </w:r>
      <w:r>
        <w:instrText xml:space="preserve"> REF _Ref133918202 \r \h </w:instrText>
      </w:r>
      <w:r>
        <w:fldChar w:fldCharType="separate"/>
      </w:r>
      <w:r>
        <w:t>[3]</w:t>
      </w:r>
      <w:r>
        <w:fldChar w:fldCharType="end"/>
      </w:r>
    </w:p>
    <w:tbl>
      <w:tblPr>
        <w:tblStyle w:val="TableGrid"/>
        <w:tblW w:w="0" w:type="auto"/>
        <w:tblLook w:val="04A0" w:firstRow="1" w:lastRow="0" w:firstColumn="1" w:lastColumn="0" w:noHBand="0" w:noVBand="1"/>
      </w:tblPr>
      <w:tblGrid>
        <w:gridCol w:w="9631"/>
      </w:tblGrid>
      <w:tr w:rsidR="005F35BC" w14:paraId="4C696630" w14:textId="77777777" w:rsidTr="005F35BC">
        <w:tc>
          <w:tcPr>
            <w:tcW w:w="9631" w:type="dxa"/>
          </w:tcPr>
          <w:p w14:paraId="3033AA18" w14:textId="77777777" w:rsidR="005F35BC" w:rsidRDefault="005F35BC" w:rsidP="005F35BC">
            <w:pPr>
              <w:rPr>
                <w:lang w:eastAsia="zh-CN"/>
              </w:rPr>
            </w:pPr>
            <w:r>
              <w:rPr>
                <w:lang w:eastAsia="zh-CN"/>
              </w:rPr>
              <w:t>The E-UTRA reporting events concerning Aerial UE height are labelled H</w:t>
            </w:r>
            <w:r>
              <w:rPr>
                <w:i/>
                <w:lang w:eastAsia="zh-CN"/>
              </w:rPr>
              <w:t>N</w:t>
            </w:r>
            <w:r>
              <w:rPr>
                <w:lang w:eastAsia="zh-CN"/>
              </w:rPr>
              <w:t xml:space="preserve"> with </w:t>
            </w:r>
            <w:r>
              <w:rPr>
                <w:i/>
                <w:lang w:eastAsia="zh-CN"/>
              </w:rPr>
              <w:t>N</w:t>
            </w:r>
            <w:r>
              <w:rPr>
                <w:lang w:eastAsia="zh-CN"/>
              </w:rPr>
              <w:t xml:space="preserve"> equal to 1 and 2.</w:t>
            </w:r>
          </w:p>
          <w:p w14:paraId="4911281F" w14:textId="77777777" w:rsidR="005F35BC" w:rsidRDefault="005F35BC" w:rsidP="005F35BC">
            <w:pPr>
              <w:pStyle w:val="B1"/>
              <w:keepNext/>
              <w:keepLines/>
              <w:ind w:left="1418" w:hanging="1134"/>
              <w:rPr>
                <w:lang w:eastAsia="zh-CN"/>
              </w:rPr>
            </w:pPr>
            <w:r>
              <w:rPr>
                <w:lang w:eastAsia="zh-CN"/>
              </w:rPr>
              <w:t>Event H1:</w:t>
            </w:r>
            <w:r>
              <w:rPr>
                <w:lang w:eastAsia="zh-CN"/>
              </w:rPr>
              <w:tab/>
              <w:t xml:space="preserve">Aerial UE height becomes higher than absolute </w:t>
            </w:r>
            <w:proofErr w:type="gramStart"/>
            <w:r>
              <w:rPr>
                <w:lang w:eastAsia="zh-CN"/>
              </w:rPr>
              <w:t>threshold;</w:t>
            </w:r>
            <w:proofErr w:type="gramEnd"/>
          </w:p>
          <w:p w14:paraId="038625EB" w14:textId="0E739978" w:rsidR="005F35BC" w:rsidRDefault="005F35BC" w:rsidP="005152ED">
            <w:pPr>
              <w:pStyle w:val="B1"/>
              <w:keepNext/>
              <w:keepLines/>
              <w:ind w:left="1418" w:hanging="1134"/>
              <w:rPr>
                <w:lang w:eastAsia="zh-CN"/>
              </w:rPr>
            </w:pPr>
            <w:r>
              <w:rPr>
                <w:lang w:eastAsia="zh-CN"/>
              </w:rPr>
              <w:t>Event H2:</w:t>
            </w:r>
            <w:r>
              <w:rPr>
                <w:lang w:eastAsia="zh-CN"/>
              </w:rPr>
              <w:tab/>
              <w:t>Aerial UE height becomes lower than absolute threshold.</w:t>
            </w:r>
          </w:p>
        </w:tc>
      </w:tr>
    </w:tbl>
    <w:p w14:paraId="0CFB760E" w14:textId="742A7D82" w:rsidR="005F35BC" w:rsidRDefault="00C10BE5" w:rsidP="00C10BE5">
      <w:pPr>
        <w:pStyle w:val="Caption"/>
        <w:jc w:val="center"/>
      </w:pPr>
      <w:bookmarkStart w:id="27" w:name="_Ref142512807"/>
      <w:r>
        <w:t xml:space="preserve">Figure </w:t>
      </w:r>
      <w:r w:rsidR="00516775">
        <w:fldChar w:fldCharType="begin"/>
      </w:r>
      <w:r w:rsidR="00516775">
        <w:instrText xml:space="preserve"> SEQ Figure \* ARABIC </w:instrText>
      </w:r>
      <w:r w:rsidR="00516775">
        <w:fldChar w:fldCharType="separate"/>
      </w:r>
      <w:r w:rsidR="00247766">
        <w:rPr>
          <w:noProof/>
        </w:rPr>
        <w:t>4</w:t>
      </w:r>
      <w:r w:rsidR="00516775">
        <w:rPr>
          <w:noProof/>
        </w:rPr>
        <w:fldChar w:fldCharType="end"/>
      </w:r>
      <w:bookmarkEnd w:id="27"/>
      <w:r>
        <w:t>:</w:t>
      </w:r>
      <w:r w:rsidRPr="00D67FEF">
        <w:t>Event H1</w:t>
      </w:r>
      <w:r>
        <w:t xml:space="preserve"> and Event H2</w:t>
      </w:r>
      <w:r w:rsidRPr="00D67FEF">
        <w:t xml:space="preserve"> Definition</w:t>
      </w:r>
      <w:r>
        <w:t>s</w:t>
      </w:r>
      <w:r w:rsidRPr="00D67FEF">
        <w:t xml:space="preserve"> </w:t>
      </w:r>
      <w:r>
        <w:t>from ASN.</w:t>
      </w:r>
      <w:r w:rsidR="004765B4">
        <w:t>1 Definition</w:t>
      </w:r>
      <w:r>
        <w:t xml:space="preserve"> Text</w:t>
      </w:r>
      <w:r w:rsidR="004765B4">
        <w:t xml:space="preserve"> </w:t>
      </w:r>
      <w:r w:rsidR="004765B4">
        <w:fldChar w:fldCharType="begin"/>
      </w:r>
      <w:r w:rsidR="004765B4">
        <w:instrText xml:space="preserve"> PAGEREF _Ref133918202 \h </w:instrText>
      </w:r>
      <w:r w:rsidR="004765B4">
        <w:fldChar w:fldCharType="separate"/>
      </w:r>
      <w:r w:rsidR="004765B4">
        <w:rPr>
          <w:noProof/>
        </w:rPr>
        <w:t>4</w:t>
      </w:r>
      <w:r w:rsidR="004765B4">
        <w:fldChar w:fldCharType="end"/>
      </w:r>
    </w:p>
    <w:p w14:paraId="0F6AB836" w14:textId="10923111" w:rsidR="00367710" w:rsidRPr="005152ED" w:rsidRDefault="005152ED" w:rsidP="00060214">
      <w:pPr>
        <w:rPr>
          <w:b/>
          <w:bCs/>
        </w:rPr>
      </w:pPr>
      <w:r w:rsidRPr="005152ED">
        <w:rPr>
          <w:b/>
          <w:bCs/>
        </w:rPr>
        <w:t>Observation</w:t>
      </w:r>
      <w:r w:rsidR="00760484">
        <w:rPr>
          <w:b/>
          <w:bCs/>
        </w:rPr>
        <w:t xml:space="preserve"> 6</w:t>
      </w:r>
      <w:r w:rsidRPr="005152ED">
        <w:rPr>
          <w:b/>
          <w:bCs/>
        </w:rPr>
        <w:t xml:space="preserve">: Based on the analysis above, the definitions for </w:t>
      </w:r>
      <w:r w:rsidR="007B25C7">
        <w:rPr>
          <w:b/>
          <w:bCs/>
        </w:rPr>
        <w:t xml:space="preserve">triggering </w:t>
      </w:r>
      <w:r w:rsidRPr="005152ED">
        <w:rPr>
          <w:b/>
          <w:bCs/>
        </w:rPr>
        <w:t>Event H1 and Event H2 are ambiguous.</w:t>
      </w:r>
    </w:p>
    <w:p w14:paraId="77DED2E5" w14:textId="01CCE4AE" w:rsidR="005152ED" w:rsidRDefault="005152ED" w:rsidP="00060214">
      <w:r>
        <w:t xml:space="preserve">To resolve the ambiguities, </w:t>
      </w:r>
      <w:r w:rsidR="007A447C">
        <w:t xml:space="preserve">triggering </w:t>
      </w:r>
      <w:r w:rsidR="00A66234">
        <w:t xml:space="preserve">or entering </w:t>
      </w:r>
      <w:r w:rsidR="007A447C">
        <w:t>condition(s) must first</w:t>
      </w:r>
      <w:r>
        <w:t xml:space="preserve"> be decided</w:t>
      </w:r>
      <w:r w:rsidR="007A447C">
        <w:t xml:space="preserve"> for</w:t>
      </w:r>
      <w:r>
        <w:t xml:space="preserve"> </w:t>
      </w:r>
      <w:r w:rsidR="007A447C">
        <w:t>Event H1 and Event H2. Some options are listed for the purpose of discussion:</w:t>
      </w:r>
    </w:p>
    <w:p w14:paraId="4D08236E" w14:textId="136E1B45" w:rsidR="007A447C" w:rsidRDefault="007A447C" w:rsidP="00060214">
      <w:r w:rsidRPr="0062556A">
        <w:rPr>
          <w:u w:val="single"/>
        </w:rPr>
        <w:t>Option 1:</w:t>
      </w:r>
      <w:r>
        <w:t xml:space="preserve"> The entering condition for Event H1 </w:t>
      </w:r>
      <w:r w:rsidR="00245996">
        <w:t xml:space="preserve">is </w:t>
      </w:r>
      <w:r>
        <w:t xml:space="preserve">satisfied when the UE </w:t>
      </w:r>
      <w:r w:rsidR="00207C04" w:rsidRPr="00245996">
        <w:rPr>
          <w:b/>
          <w:bCs/>
        </w:rPr>
        <w:t>ascends above</w:t>
      </w:r>
      <w:r>
        <w:t xml:space="preserve"> </w:t>
      </w:r>
      <w:r w:rsidR="00207C04">
        <w:t xml:space="preserve">a threshold, taking into account the hysteresis and offset parameters. Similarly, the entering condition for Event H2 is satisfied when the UE </w:t>
      </w:r>
      <w:r w:rsidR="00207C04" w:rsidRPr="00245996">
        <w:rPr>
          <w:b/>
          <w:bCs/>
        </w:rPr>
        <w:t>descends below</w:t>
      </w:r>
      <w:r w:rsidR="00207C04">
        <w:t xml:space="preserve"> a threshold, taking into account the hysteresis and offset parameters. </w:t>
      </w:r>
      <w:r w:rsidR="003E7C5A">
        <w:t>Note that t</w:t>
      </w:r>
      <w:r w:rsidR="00207C04">
        <w:t xml:space="preserve">he leaving conditions for these </w:t>
      </w:r>
      <w:r w:rsidR="003E7C5A">
        <w:t>parameters are more obvious because they only make sense in terms of crossing a threshold.</w:t>
      </w:r>
    </w:p>
    <w:p w14:paraId="08A181AC" w14:textId="47B69470" w:rsidR="003E7C5A" w:rsidRDefault="003E7C5A" w:rsidP="00060214">
      <w:r w:rsidRPr="72A74740">
        <w:rPr>
          <w:u w:val="single"/>
        </w:rPr>
        <w:t>Option 2:</w:t>
      </w:r>
      <w:r>
        <w:t xml:space="preserve"> The entering condition for Event H1 is satisfied when the UE </w:t>
      </w:r>
      <w:r w:rsidRPr="72A74740">
        <w:rPr>
          <w:b/>
          <w:bCs/>
        </w:rPr>
        <w:t>is</w:t>
      </w:r>
      <w:r>
        <w:t xml:space="preserve"> above a threshold</w:t>
      </w:r>
      <w:r w:rsidR="001B2EEE">
        <w:t xml:space="preserve"> at the time of applying the configuration</w:t>
      </w:r>
      <w:r>
        <w:t xml:space="preserve">, taking into account the hysteresis and offset parameters. Similarly, the entering condition for Event H2 </w:t>
      </w:r>
      <w:r w:rsidRPr="72A74740">
        <w:rPr>
          <w:b/>
          <w:bCs/>
        </w:rPr>
        <w:t>is</w:t>
      </w:r>
      <w:r>
        <w:t xml:space="preserve"> satisfied when the UE </w:t>
      </w:r>
      <w:r w:rsidR="001B2EEE">
        <w:rPr>
          <w:b/>
          <w:bCs/>
        </w:rPr>
        <w:t>is</w:t>
      </w:r>
      <w:r w:rsidR="001B2EEE">
        <w:t xml:space="preserve"> </w:t>
      </w:r>
      <w:r>
        <w:t>below a threshold</w:t>
      </w:r>
      <w:r w:rsidR="001B2EEE">
        <w:t xml:space="preserve"> at the time of applying the configuration</w:t>
      </w:r>
      <w:r>
        <w:t>, taking into account the hysteresis and offset parameters. With this option, the UE could be triggered</w:t>
      </w:r>
      <w:r w:rsidR="003729B9">
        <w:t xml:space="preserve"> by Event H1 or Event H2</w:t>
      </w:r>
      <w:r>
        <w:t xml:space="preserve"> to </w:t>
      </w:r>
      <w:r w:rsidR="003729B9">
        <w:t xml:space="preserve">send a Measurement Report immediately after being configured with either event if the UE is above </w:t>
      </w:r>
      <w:r w:rsidR="0085492C">
        <w:t>the Event H1 threshold, taking into account the hysteresis and offset parameters, or if the UE is below the Event H2 threshold, taking into account the hysteresis and offset parameters.</w:t>
      </w:r>
    </w:p>
    <w:p w14:paraId="6C14B0F1" w14:textId="070E5F3B" w:rsidR="0085492C" w:rsidRDefault="0085492C" w:rsidP="00060214">
      <w:r w:rsidRPr="72A74740">
        <w:rPr>
          <w:u w:val="single"/>
        </w:rPr>
        <w:t>Option 3:</w:t>
      </w:r>
      <w:r>
        <w:t xml:space="preserve"> Allow for Option 1 and Option 2. This would allow the network to immediately know of the UE’s height if the UE’s height is </w:t>
      </w:r>
      <w:r w:rsidR="00943347">
        <w:t>above any configured Event H1, taking into account the hysteresis and offset parameters</w:t>
      </w:r>
      <w:r w:rsidR="0062556A">
        <w:t>,</w:t>
      </w:r>
      <w:r w:rsidR="00943347">
        <w:t xml:space="preserve"> or if the UE’s height is below any configured Event H2, taking into account the hysteresis and offset parameters.</w:t>
      </w:r>
    </w:p>
    <w:p w14:paraId="33A20A0E" w14:textId="258597F4" w:rsidR="00367710" w:rsidRPr="00607504" w:rsidRDefault="0062556A" w:rsidP="00060214">
      <w:pPr>
        <w:rPr>
          <w:b/>
          <w:bCs/>
        </w:rPr>
      </w:pPr>
      <w:r w:rsidRPr="00607504">
        <w:rPr>
          <w:b/>
          <w:bCs/>
        </w:rPr>
        <w:t>Proposal</w:t>
      </w:r>
      <w:r w:rsidR="00760484">
        <w:rPr>
          <w:b/>
          <w:bCs/>
        </w:rPr>
        <w:t xml:space="preserve"> 3</w:t>
      </w:r>
      <w:r w:rsidRPr="00607504">
        <w:rPr>
          <w:b/>
          <w:bCs/>
        </w:rPr>
        <w:t xml:space="preserve">: Discuss </w:t>
      </w:r>
      <w:r w:rsidR="00760484">
        <w:rPr>
          <w:b/>
          <w:bCs/>
        </w:rPr>
        <w:t xml:space="preserve">and decide between </w:t>
      </w:r>
      <w:r w:rsidRPr="00607504">
        <w:rPr>
          <w:b/>
          <w:bCs/>
        </w:rPr>
        <w:t xml:space="preserve">options 1, 2, and 3 </w:t>
      </w:r>
      <w:r w:rsidR="000D1DCE" w:rsidRPr="00607504">
        <w:rPr>
          <w:b/>
          <w:bCs/>
        </w:rPr>
        <w:t>regarding the triggering condition(s) for Event H1 and Event H2.</w:t>
      </w:r>
    </w:p>
    <w:p w14:paraId="5CDD999D" w14:textId="517543CF" w:rsidR="001C79C5" w:rsidRDefault="001C79C5" w:rsidP="001C79C5">
      <w:r>
        <w:t>Noting the above proposal, if we select Option 2 or Option 3 from the list of possible solutions for defining the triggering</w:t>
      </w:r>
      <w:r w:rsidR="00A66234">
        <w:t xml:space="preserve"> or entering</w:t>
      </w:r>
      <w:r>
        <w:t xml:space="preserve"> conditions for Event H1 and Event H2, it should be specified that at least for the case when the UE </w:t>
      </w:r>
      <w:r>
        <w:rPr>
          <w:b/>
          <w:bCs/>
        </w:rPr>
        <w:t>is</w:t>
      </w:r>
      <w:r>
        <w:t xml:space="preserve"> above a threshold (Event H1) and the case when the UE </w:t>
      </w:r>
      <w:r>
        <w:rPr>
          <w:b/>
          <w:bCs/>
        </w:rPr>
        <w:t xml:space="preserve">is </w:t>
      </w:r>
      <w:r>
        <w:t>below a threshold (Event H2), that the hysteresis should not be taken into account, Hysteresis should not be considered because its purpose is to prevent ping-ponging, which cannot happen instantaneously, which would be the case when an aerial UE happens to satisfy the conditions of an Event H1 or Event H2 immediately upon being configured with one or more of these events.</w:t>
      </w:r>
    </w:p>
    <w:p w14:paraId="3C5B0A08" w14:textId="3183C569" w:rsidR="001C79C5" w:rsidRPr="006878E8" w:rsidRDefault="001C79C5" w:rsidP="001C79C5">
      <w:pPr>
        <w:rPr>
          <w:b/>
          <w:bCs/>
        </w:rPr>
      </w:pPr>
      <w:r w:rsidRPr="006878E8">
        <w:rPr>
          <w:b/>
          <w:bCs/>
        </w:rPr>
        <w:t>Observation</w:t>
      </w:r>
      <w:r w:rsidR="00760484">
        <w:rPr>
          <w:b/>
          <w:bCs/>
        </w:rPr>
        <w:t xml:space="preserve"> 7</w:t>
      </w:r>
      <w:r w:rsidRPr="006878E8">
        <w:rPr>
          <w:b/>
          <w:bCs/>
        </w:rPr>
        <w:t>: The intent of the hysteresis parameter does not apply to the triggering</w:t>
      </w:r>
      <w:r w:rsidR="00A66234">
        <w:rPr>
          <w:b/>
          <w:bCs/>
        </w:rPr>
        <w:t xml:space="preserve"> or entering</w:t>
      </w:r>
      <w:r w:rsidRPr="006878E8">
        <w:rPr>
          <w:b/>
          <w:bCs/>
        </w:rPr>
        <w:t xml:space="preserve"> conditions of Event H1 and Event H2 when either event is triggered due to an aerial UE satisfying one or more Event HX condition immediately upon being configured with one or more of Event(s) HX.</w:t>
      </w:r>
    </w:p>
    <w:p w14:paraId="0B9CA143" w14:textId="28482D1F" w:rsidR="001C79C5" w:rsidRPr="006878E8" w:rsidRDefault="001C79C5" w:rsidP="001C79C5">
      <w:pPr>
        <w:rPr>
          <w:b/>
          <w:bCs/>
        </w:rPr>
      </w:pPr>
      <w:r w:rsidRPr="006878E8">
        <w:rPr>
          <w:b/>
          <w:bCs/>
        </w:rPr>
        <w:lastRenderedPageBreak/>
        <w:t>Proposal</w:t>
      </w:r>
      <w:r w:rsidR="00760484">
        <w:rPr>
          <w:b/>
          <w:bCs/>
        </w:rPr>
        <w:t xml:space="preserve"> 4</w:t>
      </w:r>
      <w:r w:rsidRPr="006878E8">
        <w:rPr>
          <w:b/>
          <w:bCs/>
        </w:rPr>
        <w:t>: Do not consider the hysteresis parameter when evaluating the triggering</w:t>
      </w:r>
      <w:r w:rsidR="00A66234">
        <w:rPr>
          <w:b/>
          <w:bCs/>
        </w:rPr>
        <w:t xml:space="preserve"> or entering</w:t>
      </w:r>
      <w:r w:rsidRPr="006878E8">
        <w:rPr>
          <w:b/>
          <w:bCs/>
        </w:rPr>
        <w:t xml:space="preserve"> conditions of Event H1 and Event H2 when the trigger is due to an aerial UE already satisfying the triggering </w:t>
      </w:r>
      <w:r w:rsidR="00A66234">
        <w:rPr>
          <w:b/>
          <w:bCs/>
        </w:rPr>
        <w:t xml:space="preserve">or entering </w:t>
      </w:r>
      <w:r w:rsidRPr="006878E8">
        <w:rPr>
          <w:b/>
          <w:bCs/>
        </w:rPr>
        <w:t>conditions of either Event HX immediately upon being configured with one or more of Event(s) HX.</w:t>
      </w:r>
    </w:p>
    <w:p w14:paraId="69B7B8E6" w14:textId="69E07FC9" w:rsidR="009339CB" w:rsidRPr="002A1AFD" w:rsidRDefault="005A13AB" w:rsidP="009339CB">
      <w:pPr>
        <w:pStyle w:val="Heading1"/>
        <w:rPr>
          <w:noProof/>
        </w:rPr>
      </w:pPr>
      <w:r w:rsidRPr="002A1AFD">
        <w:rPr>
          <w:noProof/>
        </w:rPr>
        <w:t>3</w:t>
      </w:r>
      <w:r w:rsidR="009339CB" w:rsidRPr="002A1AFD">
        <w:rPr>
          <w:noProof/>
        </w:rPr>
        <w:tab/>
        <w:t>Conclusion</w:t>
      </w:r>
    </w:p>
    <w:p w14:paraId="1F382A85" w14:textId="6B30542B" w:rsidR="0080413A" w:rsidRDefault="00EA6D34" w:rsidP="009339CB">
      <w:pPr>
        <w:rPr>
          <w:noProof/>
        </w:rPr>
      </w:pPr>
      <w:r w:rsidRPr="002A1AFD">
        <w:rPr>
          <w:noProof/>
        </w:rPr>
        <w:t>In t</w:t>
      </w:r>
      <w:r w:rsidR="009339CB" w:rsidRPr="002A1AFD">
        <w:rPr>
          <w:noProof/>
        </w:rPr>
        <w:t xml:space="preserve">his document </w:t>
      </w:r>
      <w:r w:rsidRPr="002A1AFD">
        <w:rPr>
          <w:noProof/>
        </w:rPr>
        <w:t>we have</w:t>
      </w:r>
      <w:r w:rsidR="009339CB" w:rsidRPr="002A1AFD">
        <w:rPr>
          <w:noProof/>
        </w:rPr>
        <w:t xml:space="preserve"> made the following </w:t>
      </w:r>
      <w:r w:rsidRPr="002A1AFD">
        <w:rPr>
          <w:noProof/>
        </w:rPr>
        <w:t xml:space="preserve">proposals and </w:t>
      </w:r>
      <w:r w:rsidR="009339CB" w:rsidRPr="002A1AFD">
        <w:rPr>
          <w:noProof/>
        </w:rPr>
        <w:t>observations:</w:t>
      </w:r>
    </w:p>
    <w:p w14:paraId="7865FD99" w14:textId="1BB50E7A" w:rsidR="00760484" w:rsidRDefault="00760484" w:rsidP="009339CB">
      <w:pPr>
        <w:rPr>
          <w:noProof/>
        </w:rPr>
      </w:pPr>
      <w:r>
        <w:rPr>
          <w:noProof/>
        </w:rPr>
        <w:t>The following Proposals were made:</w:t>
      </w:r>
    </w:p>
    <w:p w14:paraId="335FD6A9" w14:textId="77777777" w:rsidR="00760484" w:rsidRPr="00CC0C3B" w:rsidRDefault="00760484" w:rsidP="00760484">
      <w:pPr>
        <w:jc w:val="both"/>
        <w:rPr>
          <w:b/>
          <w:bCs/>
          <w:i/>
          <w:iCs/>
          <w:noProof/>
        </w:rPr>
      </w:pPr>
      <w:r w:rsidRPr="00CC0C3B">
        <w:rPr>
          <w:b/>
          <w:bCs/>
          <w:noProof/>
        </w:rPr>
        <w:t>Proposal</w:t>
      </w:r>
      <w:r>
        <w:rPr>
          <w:b/>
          <w:bCs/>
          <w:noProof/>
        </w:rPr>
        <w:t xml:space="preserve"> 1</w:t>
      </w:r>
      <w:r w:rsidRPr="00CC0C3B">
        <w:rPr>
          <w:b/>
          <w:bCs/>
          <w:noProof/>
        </w:rPr>
        <w:t xml:space="preserve">: When height-depdendendent </w:t>
      </w:r>
      <w:r w:rsidRPr="00CC0C3B">
        <w:rPr>
          <w:b/>
          <w:bCs/>
          <w:i/>
          <w:iCs/>
          <w:noProof/>
        </w:rPr>
        <w:t>eventAx</w:t>
      </w:r>
      <w:r w:rsidRPr="00CC0C3B">
        <w:rPr>
          <w:b/>
          <w:bCs/>
          <w:noProof/>
        </w:rPr>
        <w:t xml:space="preserve"> and </w:t>
      </w:r>
      <w:r w:rsidRPr="00CC0C3B">
        <w:rPr>
          <w:b/>
          <w:bCs/>
          <w:i/>
          <w:iCs/>
          <w:noProof/>
        </w:rPr>
        <w:t>SSB-ToMeasure</w:t>
      </w:r>
      <w:r w:rsidRPr="00CC0C3B">
        <w:rPr>
          <w:b/>
          <w:bCs/>
          <w:noProof/>
        </w:rPr>
        <w:t xml:space="preserve"> are configured simultaneously, the height ranges configured for </w:t>
      </w:r>
      <w:r>
        <w:rPr>
          <w:b/>
          <w:bCs/>
          <w:noProof/>
        </w:rPr>
        <w:t xml:space="preserve">the </w:t>
      </w:r>
      <w:r w:rsidRPr="00CC0C3B">
        <w:rPr>
          <w:b/>
          <w:bCs/>
          <w:noProof/>
        </w:rPr>
        <w:t xml:space="preserve">parameter </w:t>
      </w:r>
      <w:r>
        <w:rPr>
          <w:b/>
          <w:bCs/>
          <w:noProof/>
        </w:rPr>
        <w:t xml:space="preserve">with the least height ranges </w:t>
      </w:r>
      <w:r w:rsidRPr="00CC0C3B">
        <w:rPr>
          <w:b/>
          <w:bCs/>
          <w:noProof/>
        </w:rPr>
        <w:t>must align with those of the other parameter.</w:t>
      </w:r>
    </w:p>
    <w:p w14:paraId="5585D1B3" w14:textId="77777777" w:rsidR="00760484" w:rsidRDefault="00760484" w:rsidP="00760484">
      <w:pPr>
        <w:rPr>
          <w:b/>
          <w:bCs/>
        </w:rPr>
      </w:pPr>
      <w:r w:rsidRPr="002E334C">
        <w:rPr>
          <w:b/>
          <w:bCs/>
        </w:rPr>
        <w:t>Proposal</w:t>
      </w:r>
      <w:r>
        <w:rPr>
          <w:b/>
          <w:bCs/>
        </w:rPr>
        <w:t xml:space="preserve"> 2</w:t>
      </w:r>
      <w:r w:rsidRPr="002E334C">
        <w:rPr>
          <w:b/>
          <w:bCs/>
        </w:rPr>
        <w:t xml:space="preserve">: </w:t>
      </w:r>
      <w:r>
        <w:rPr>
          <w:b/>
          <w:bCs/>
        </w:rPr>
        <w:t>Study a method which a</w:t>
      </w:r>
      <w:r w:rsidRPr="002E334C">
        <w:rPr>
          <w:b/>
          <w:bCs/>
        </w:rPr>
        <w:t>llow</w:t>
      </w:r>
      <w:r>
        <w:rPr>
          <w:b/>
          <w:bCs/>
        </w:rPr>
        <w:t>s</w:t>
      </w:r>
      <w:r w:rsidRPr="002E334C">
        <w:rPr>
          <w:b/>
          <w:bCs/>
        </w:rPr>
        <w:t xml:space="preserve"> </w:t>
      </w:r>
      <w:r>
        <w:rPr>
          <w:b/>
          <w:bCs/>
        </w:rPr>
        <w:t>a</w:t>
      </w:r>
      <w:r w:rsidRPr="002E334C">
        <w:rPr>
          <w:b/>
          <w:bCs/>
        </w:rPr>
        <w:t xml:space="preserve"> UE </w:t>
      </w:r>
      <w:r>
        <w:rPr>
          <w:b/>
          <w:bCs/>
        </w:rPr>
        <w:t xml:space="preserve">to </w:t>
      </w:r>
      <w:r w:rsidRPr="002E334C">
        <w:rPr>
          <w:b/>
          <w:bCs/>
        </w:rPr>
        <w:t xml:space="preserve">measure all SSBs, for </w:t>
      </w:r>
      <w:r>
        <w:rPr>
          <w:b/>
          <w:bCs/>
        </w:rPr>
        <w:t xml:space="preserve">the purpose </w:t>
      </w:r>
      <w:r w:rsidRPr="002E334C">
        <w:rPr>
          <w:b/>
          <w:bCs/>
        </w:rPr>
        <w:t xml:space="preserve">interference reporting, </w:t>
      </w:r>
      <w:r>
        <w:rPr>
          <w:b/>
          <w:bCs/>
        </w:rPr>
        <w:t xml:space="preserve">for events configured with </w:t>
      </w:r>
      <w:proofErr w:type="spellStart"/>
      <w:r>
        <w:rPr>
          <w:b/>
          <w:bCs/>
        </w:rPr>
        <w:t>numberOfTriggeringCells</w:t>
      </w:r>
      <w:proofErr w:type="spellEnd"/>
      <w:r w:rsidRPr="002E334C">
        <w:rPr>
          <w:b/>
          <w:bCs/>
        </w:rPr>
        <w:t>.</w:t>
      </w:r>
    </w:p>
    <w:p w14:paraId="6E012EA4" w14:textId="727EE826" w:rsidR="00760484" w:rsidRPr="00607504" w:rsidRDefault="00760484" w:rsidP="00760484">
      <w:pPr>
        <w:rPr>
          <w:b/>
          <w:bCs/>
        </w:rPr>
      </w:pPr>
      <w:r w:rsidRPr="00607504">
        <w:rPr>
          <w:b/>
          <w:bCs/>
        </w:rPr>
        <w:t>Proposal</w:t>
      </w:r>
      <w:r>
        <w:rPr>
          <w:b/>
          <w:bCs/>
        </w:rPr>
        <w:t xml:space="preserve"> 3</w:t>
      </w:r>
      <w:r w:rsidRPr="00607504">
        <w:rPr>
          <w:b/>
          <w:bCs/>
        </w:rPr>
        <w:t>: Discuss</w:t>
      </w:r>
      <w:r>
        <w:rPr>
          <w:b/>
          <w:bCs/>
        </w:rPr>
        <w:t xml:space="preserve"> and decide between</w:t>
      </w:r>
      <w:r w:rsidRPr="00607504">
        <w:rPr>
          <w:b/>
          <w:bCs/>
        </w:rPr>
        <w:t xml:space="preserve"> options 1, 2, and 3 regarding the triggering condition(s) for Event H1 and Event H2.</w:t>
      </w:r>
    </w:p>
    <w:p w14:paraId="1BBE5D25" w14:textId="77777777" w:rsidR="00760484" w:rsidRPr="006878E8" w:rsidRDefault="00760484" w:rsidP="00760484">
      <w:pPr>
        <w:rPr>
          <w:b/>
          <w:bCs/>
        </w:rPr>
      </w:pPr>
      <w:r w:rsidRPr="006878E8">
        <w:rPr>
          <w:b/>
          <w:bCs/>
        </w:rPr>
        <w:t>Proposal</w:t>
      </w:r>
      <w:r>
        <w:rPr>
          <w:b/>
          <w:bCs/>
        </w:rPr>
        <w:t xml:space="preserve"> 4</w:t>
      </w:r>
      <w:r w:rsidRPr="006878E8">
        <w:rPr>
          <w:b/>
          <w:bCs/>
        </w:rPr>
        <w:t>: Do not consider the hysteresis parameter when evaluating the triggering</w:t>
      </w:r>
      <w:r>
        <w:rPr>
          <w:b/>
          <w:bCs/>
        </w:rPr>
        <w:t xml:space="preserve"> or entering</w:t>
      </w:r>
      <w:r w:rsidRPr="006878E8">
        <w:rPr>
          <w:b/>
          <w:bCs/>
        </w:rPr>
        <w:t xml:space="preserve"> conditions of Event H1 and Event H2 when the trigger is due to an aerial UE already satisfying the triggering </w:t>
      </w:r>
      <w:r>
        <w:rPr>
          <w:b/>
          <w:bCs/>
        </w:rPr>
        <w:t xml:space="preserve">or entering </w:t>
      </w:r>
      <w:r w:rsidRPr="006878E8">
        <w:rPr>
          <w:b/>
          <w:bCs/>
        </w:rPr>
        <w:t>conditions of either Event HX immediately upon being configured with one or more of Event(s) HX.</w:t>
      </w:r>
    </w:p>
    <w:p w14:paraId="2D52B6C5" w14:textId="628D44BC" w:rsidR="00760484" w:rsidRPr="00760484" w:rsidRDefault="00760484" w:rsidP="00760484">
      <w:pPr>
        <w:jc w:val="both"/>
        <w:rPr>
          <w:noProof/>
        </w:rPr>
      </w:pPr>
      <w:r w:rsidRPr="00760484">
        <w:rPr>
          <w:noProof/>
        </w:rPr>
        <w:t>The following Observations were made:</w:t>
      </w:r>
    </w:p>
    <w:p w14:paraId="112BC115" w14:textId="04C24EB9" w:rsidR="00760484" w:rsidRPr="00CC0C3B" w:rsidRDefault="00760484" w:rsidP="00760484">
      <w:pPr>
        <w:jc w:val="both"/>
        <w:rPr>
          <w:b/>
          <w:bCs/>
          <w:noProof/>
        </w:rPr>
      </w:pPr>
      <w:r w:rsidRPr="00CC0C3B">
        <w:rPr>
          <w:b/>
          <w:bCs/>
          <w:noProof/>
        </w:rPr>
        <w:t>Observation</w:t>
      </w:r>
      <w:r>
        <w:rPr>
          <w:b/>
          <w:bCs/>
          <w:noProof/>
        </w:rPr>
        <w:t xml:space="preserve"> 1</w:t>
      </w:r>
      <w:r w:rsidRPr="00CC0C3B">
        <w:rPr>
          <w:b/>
          <w:bCs/>
          <w:noProof/>
        </w:rPr>
        <w:t xml:space="preserve">: Based on current agreements, it is possible to configure height-dependent </w:t>
      </w:r>
      <w:r w:rsidRPr="00CC0C3B">
        <w:rPr>
          <w:b/>
          <w:bCs/>
          <w:i/>
          <w:iCs/>
          <w:noProof/>
        </w:rPr>
        <w:t>eventAx</w:t>
      </w:r>
      <w:r w:rsidRPr="00CC0C3B">
        <w:rPr>
          <w:b/>
          <w:bCs/>
          <w:noProof/>
        </w:rPr>
        <w:t xml:space="preserve"> with a height range that only partially overlaps a height-dependent </w:t>
      </w:r>
      <w:r w:rsidRPr="00CC0C3B">
        <w:rPr>
          <w:b/>
          <w:bCs/>
          <w:i/>
          <w:iCs/>
          <w:noProof/>
        </w:rPr>
        <w:t>SSB-ToMeasure</w:t>
      </w:r>
      <w:r w:rsidRPr="00CC0C3B">
        <w:rPr>
          <w:b/>
          <w:bCs/>
          <w:noProof/>
        </w:rPr>
        <w:t>.</w:t>
      </w:r>
    </w:p>
    <w:p w14:paraId="569B00AB" w14:textId="77777777" w:rsidR="00760484" w:rsidRPr="00CC0C3B" w:rsidRDefault="00760484" w:rsidP="00760484">
      <w:pPr>
        <w:jc w:val="both"/>
        <w:rPr>
          <w:b/>
          <w:bCs/>
          <w:noProof/>
        </w:rPr>
      </w:pPr>
      <w:r w:rsidRPr="00CC0C3B">
        <w:rPr>
          <w:b/>
          <w:bCs/>
          <w:noProof/>
        </w:rPr>
        <w:t>Observation</w:t>
      </w:r>
      <w:r>
        <w:rPr>
          <w:b/>
          <w:bCs/>
          <w:noProof/>
        </w:rPr>
        <w:t xml:space="preserve"> 2</w:t>
      </w:r>
      <w:r w:rsidRPr="00CC0C3B">
        <w:rPr>
          <w:b/>
          <w:bCs/>
          <w:noProof/>
        </w:rPr>
        <w:t xml:space="preserve">: The behavior of a UE that switches height ranges only for one of height-dependent </w:t>
      </w:r>
      <w:r w:rsidRPr="00CC0C3B">
        <w:rPr>
          <w:b/>
          <w:bCs/>
          <w:i/>
          <w:iCs/>
          <w:noProof/>
        </w:rPr>
        <w:t>eventAx</w:t>
      </w:r>
      <w:r w:rsidRPr="00CC0C3B">
        <w:rPr>
          <w:b/>
          <w:bCs/>
          <w:noProof/>
        </w:rPr>
        <w:t xml:space="preserve"> or </w:t>
      </w:r>
      <w:r w:rsidRPr="00CC0C3B">
        <w:rPr>
          <w:b/>
          <w:bCs/>
          <w:i/>
          <w:iCs/>
          <w:noProof/>
        </w:rPr>
        <w:t>SSB-ToMeasure</w:t>
      </w:r>
      <w:r w:rsidRPr="00CC0C3B">
        <w:rPr>
          <w:b/>
          <w:bCs/>
          <w:noProof/>
        </w:rPr>
        <w:t xml:space="preserve"> is undefined.</w:t>
      </w:r>
    </w:p>
    <w:p w14:paraId="64B3E4E6" w14:textId="77777777" w:rsidR="00760484" w:rsidRPr="002E334C" w:rsidRDefault="00760484" w:rsidP="00760484">
      <w:pPr>
        <w:rPr>
          <w:b/>
          <w:bCs/>
        </w:rPr>
      </w:pPr>
      <w:r w:rsidRPr="002E334C">
        <w:rPr>
          <w:b/>
          <w:bCs/>
        </w:rPr>
        <w:t>Observation</w:t>
      </w:r>
      <w:r>
        <w:rPr>
          <w:b/>
          <w:bCs/>
        </w:rPr>
        <w:t xml:space="preserve"> 3</w:t>
      </w:r>
      <w:r w:rsidRPr="002E334C">
        <w:rPr>
          <w:b/>
          <w:bCs/>
        </w:rPr>
        <w:t xml:space="preserve">: A gNodeB could configure </w:t>
      </w:r>
      <w:r w:rsidRPr="002E334C">
        <w:rPr>
          <w:b/>
          <w:bCs/>
          <w:i/>
          <w:iCs/>
        </w:rPr>
        <w:t>SSB-</w:t>
      </w:r>
      <w:proofErr w:type="spellStart"/>
      <w:r w:rsidRPr="002E334C">
        <w:rPr>
          <w:b/>
          <w:bCs/>
          <w:i/>
          <w:iCs/>
        </w:rPr>
        <w:t>ToMeasure</w:t>
      </w:r>
      <w:proofErr w:type="spellEnd"/>
      <w:r w:rsidRPr="002E334C">
        <w:rPr>
          <w:b/>
          <w:bCs/>
        </w:rPr>
        <w:t xml:space="preserve"> only for nearby cells and leave </w:t>
      </w:r>
      <w:r>
        <w:rPr>
          <w:b/>
          <w:bCs/>
        </w:rPr>
        <w:t>the parameter</w:t>
      </w:r>
      <w:r w:rsidRPr="002E334C">
        <w:rPr>
          <w:b/>
          <w:bCs/>
        </w:rPr>
        <w:t xml:space="preserve"> unconfigured for distant cells as not to negatively impact a UE’s ability to report potential interference. </w:t>
      </w:r>
    </w:p>
    <w:p w14:paraId="4704F78E" w14:textId="77777777" w:rsidR="00760484" w:rsidRPr="005152ED" w:rsidRDefault="00760484" w:rsidP="00760484">
      <w:pPr>
        <w:rPr>
          <w:b/>
          <w:bCs/>
        </w:rPr>
      </w:pPr>
      <w:r w:rsidRPr="005152ED">
        <w:rPr>
          <w:b/>
          <w:bCs/>
        </w:rPr>
        <w:t>Observation</w:t>
      </w:r>
      <w:r>
        <w:rPr>
          <w:b/>
          <w:bCs/>
        </w:rPr>
        <w:t xml:space="preserve"> 4</w:t>
      </w:r>
      <w:r w:rsidRPr="005152ED">
        <w:rPr>
          <w:b/>
          <w:bCs/>
        </w:rPr>
        <w:t>: In the procedural text of the LTE RRC specification, the trigger for Event H1 and Event H2 is defined as the UE being above or below a threshold, respectively.</w:t>
      </w:r>
    </w:p>
    <w:p w14:paraId="2499D6BB" w14:textId="77777777" w:rsidR="00760484" w:rsidRPr="005152ED" w:rsidRDefault="00760484" w:rsidP="00760484">
      <w:pPr>
        <w:rPr>
          <w:b/>
          <w:bCs/>
        </w:rPr>
      </w:pPr>
      <w:r w:rsidRPr="005152ED">
        <w:rPr>
          <w:b/>
          <w:bCs/>
        </w:rPr>
        <w:t>Observation</w:t>
      </w:r>
      <w:r>
        <w:rPr>
          <w:b/>
          <w:bCs/>
        </w:rPr>
        <w:t xml:space="preserve"> 5</w:t>
      </w:r>
      <w:r w:rsidRPr="005152ED">
        <w:rPr>
          <w:b/>
          <w:bCs/>
        </w:rPr>
        <w:t>: In the ASN.1 definition text of the LTE RRC specification, the trigger for Event H1 and Event H2 is defined as the UE crossing above or below an absolute threshold.</w:t>
      </w:r>
    </w:p>
    <w:p w14:paraId="03CAA7C5" w14:textId="77777777" w:rsidR="00760484" w:rsidRPr="005152ED" w:rsidRDefault="00760484" w:rsidP="00760484">
      <w:pPr>
        <w:rPr>
          <w:b/>
          <w:bCs/>
        </w:rPr>
      </w:pPr>
      <w:r w:rsidRPr="005152ED">
        <w:rPr>
          <w:b/>
          <w:bCs/>
        </w:rPr>
        <w:t>Observation</w:t>
      </w:r>
      <w:r>
        <w:rPr>
          <w:b/>
          <w:bCs/>
        </w:rPr>
        <w:t xml:space="preserve"> 6</w:t>
      </w:r>
      <w:r w:rsidRPr="005152ED">
        <w:rPr>
          <w:b/>
          <w:bCs/>
        </w:rPr>
        <w:t xml:space="preserve">: Based on the analysis above, the definitions for </w:t>
      </w:r>
      <w:r>
        <w:rPr>
          <w:b/>
          <w:bCs/>
        </w:rPr>
        <w:t xml:space="preserve">triggering </w:t>
      </w:r>
      <w:r w:rsidRPr="005152ED">
        <w:rPr>
          <w:b/>
          <w:bCs/>
        </w:rPr>
        <w:t>Event H1 and Event H2 are ambiguous.</w:t>
      </w:r>
    </w:p>
    <w:p w14:paraId="0F4D46F5" w14:textId="77777777" w:rsidR="00760484" w:rsidRPr="006878E8" w:rsidRDefault="00760484" w:rsidP="00760484">
      <w:pPr>
        <w:rPr>
          <w:b/>
          <w:bCs/>
        </w:rPr>
      </w:pPr>
      <w:r w:rsidRPr="006878E8">
        <w:rPr>
          <w:b/>
          <w:bCs/>
        </w:rPr>
        <w:t>Observation</w:t>
      </w:r>
      <w:r>
        <w:rPr>
          <w:b/>
          <w:bCs/>
        </w:rPr>
        <w:t xml:space="preserve"> 7</w:t>
      </w:r>
      <w:r w:rsidRPr="006878E8">
        <w:rPr>
          <w:b/>
          <w:bCs/>
        </w:rPr>
        <w:t>: The intent of the hysteresis parameter does not apply to the triggering</w:t>
      </w:r>
      <w:r>
        <w:rPr>
          <w:b/>
          <w:bCs/>
        </w:rPr>
        <w:t xml:space="preserve"> or entering</w:t>
      </w:r>
      <w:r w:rsidRPr="006878E8">
        <w:rPr>
          <w:b/>
          <w:bCs/>
        </w:rPr>
        <w:t xml:space="preserve"> conditions of Event H1 and Event H2 when either event is triggered due to an aerial UE satisfying one or more Event HX condition immediately upon being configured with one or more of Event(s) HX.</w:t>
      </w:r>
    </w:p>
    <w:p w14:paraId="64C1C004" w14:textId="292CBA63" w:rsidR="0025571F" w:rsidRPr="002A1AFD" w:rsidRDefault="0025571F">
      <w:pPr>
        <w:pStyle w:val="Heading1"/>
        <w:rPr>
          <w:noProof/>
        </w:rPr>
      </w:pPr>
      <w:r w:rsidRPr="002A1AFD">
        <w:rPr>
          <w:noProof/>
        </w:rPr>
        <w:t>References</w:t>
      </w:r>
    </w:p>
    <w:p w14:paraId="02082B08" w14:textId="2B9EEDF8" w:rsidR="00704DDA" w:rsidRPr="002A1AFD" w:rsidRDefault="003A4219" w:rsidP="00884348">
      <w:pPr>
        <w:pStyle w:val="ListParagraph"/>
        <w:numPr>
          <w:ilvl w:val="0"/>
          <w:numId w:val="8"/>
        </w:numPr>
        <w:rPr>
          <w:noProof/>
        </w:rPr>
      </w:pPr>
      <w:bookmarkStart w:id="28" w:name="_Ref133916279"/>
      <w:bookmarkStart w:id="29" w:name="_Ref117785152"/>
      <w:r w:rsidRPr="002A1AFD">
        <w:rPr>
          <w:noProof/>
        </w:rPr>
        <w:t>R2-230</w:t>
      </w:r>
      <w:r w:rsidR="005A3D20">
        <w:rPr>
          <w:noProof/>
        </w:rPr>
        <w:t>6543</w:t>
      </w:r>
      <w:r w:rsidRPr="002A1AFD">
        <w:rPr>
          <w:noProof/>
        </w:rPr>
        <w:t xml:space="preserve"> </w:t>
      </w:r>
      <w:r w:rsidR="000722D1" w:rsidRPr="002A1AFD">
        <w:rPr>
          <w:noProof/>
        </w:rPr>
        <w:t>“</w:t>
      </w:r>
      <w:r w:rsidRPr="002A1AFD">
        <w:rPr>
          <w:noProof/>
        </w:rPr>
        <w:t xml:space="preserve">Report from Session on NES, UAV, Rel-15-17 UP, Rel-17 </w:t>
      </w:r>
      <w:r w:rsidR="00F760E3" w:rsidRPr="002A1AFD">
        <w:rPr>
          <w:noProof/>
        </w:rPr>
        <w:t>Small Data, IIoT</w:t>
      </w:r>
      <w:r w:rsidR="000722D1" w:rsidRPr="002A1AFD">
        <w:rPr>
          <w:noProof/>
        </w:rPr>
        <w:t>/URLLC, and RACH partitioning”</w:t>
      </w:r>
      <w:r w:rsidR="0043378B" w:rsidRPr="002A1AFD">
        <w:rPr>
          <w:noProof/>
        </w:rPr>
        <w:t>,</w:t>
      </w:r>
      <w:r w:rsidR="000722D1" w:rsidRPr="002A1AFD">
        <w:rPr>
          <w:noProof/>
        </w:rPr>
        <w:t xml:space="preserve"> 3GPP TS</w:t>
      </w:r>
      <w:r w:rsidR="00581F75" w:rsidRPr="002A1AFD">
        <w:rPr>
          <w:noProof/>
        </w:rPr>
        <w:t>G</w:t>
      </w:r>
      <w:r w:rsidR="000722D1" w:rsidRPr="002A1AFD">
        <w:rPr>
          <w:noProof/>
        </w:rPr>
        <w:t>-RAN WG2 Meeting #12</w:t>
      </w:r>
      <w:r w:rsidR="005A3D20">
        <w:rPr>
          <w:noProof/>
        </w:rPr>
        <w:t>2</w:t>
      </w:r>
      <w:r w:rsidR="000722D1" w:rsidRPr="002A1AFD">
        <w:rPr>
          <w:noProof/>
        </w:rPr>
        <w:t xml:space="preserve">, </w:t>
      </w:r>
      <w:r w:rsidR="005A3D20">
        <w:rPr>
          <w:noProof/>
        </w:rPr>
        <w:t>Incheon</w:t>
      </w:r>
      <w:r w:rsidR="000722D1" w:rsidRPr="002A1AFD">
        <w:rPr>
          <w:noProof/>
        </w:rPr>
        <w:t xml:space="preserve">, </w:t>
      </w:r>
      <w:r w:rsidR="005A3D20">
        <w:rPr>
          <w:noProof/>
        </w:rPr>
        <w:t>May</w:t>
      </w:r>
      <w:r w:rsidR="000722D1" w:rsidRPr="002A1AFD">
        <w:rPr>
          <w:noProof/>
        </w:rPr>
        <w:t xml:space="preserve"> 2023</w:t>
      </w:r>
      <w:bookmarkEnd w:id="28"/>
    </w:p>
    <w:p w14:paraId="086AAD9B" w14:textId="7E549602" w:rsidR="00247383" w:rsidRPr="002A1AFD" w:rsidRDefault="007D162E" w:rsidP="0072410C">
      <w:pPr>
        <w:pStyle w:val="ListParagraph"/>
        <w:numPr>
          <w:ilvl w:val="0"/>
          <w:numId w:val="8"/>
        </w:numPr>
        <w:rPr>
          <w:noProof/>
        </w:rPr>
      </w:pPr>
      <w:bookmarkStart w:id="30" w:name="_Ref133918057"/>
      <w:r w:rsidRPr="002A1AFD">
        <w:rPr>
          <w:noProof/>
        </w:rPr>
        <w:t>“</w:t>
      </w:r>
      <w:r w:rsidR="00933102" w:rsidRPr="002A1AFD">
        <w:rPr>
          <w:noProof/>
        </w:rPr>
        <w:t>3</w:t>
      </w:r>
      <w:r w:rsidR="00933102" w:rsidRPr="002A1AFD">
        <w:rPr>
          <w:noProof/>
          <w:vertAlign w:val="superscript"/>
        </w:rPr>
        <w:t>rd</w:t>
      </w:r>
      <w:r w:rsidR="00933102" w:rsidRPr="002A1AFD">
        <w:rPr>
          <w:noProof/>
        </w:rPr>
        <w:t xml:space="preserve"> Generation Partnership Project; </w:t>
      </w:r>
      <w:r w:rsidR="00ED7D11" w:rsidRPr="002A1AFD">
        <w:rPr>
          <w:noProof/>
        </w:rPr>
        <w:t>Technical Specification Group Radio Access Network; Evolved Universal Terrestrial Radio Access (E-UTRA); Radio Resource Control (RRC); Protocol Specification (Release 17)</w:t>
      </w:r>
      <w:r w:rsidRPr="002A1AFD">
        <w:rPr>
          <w:noProof/>
        </w:rPr>
        <w:t>”, v17.4.0, 3GPP</w:t>
      </w:r>
      <w:bookmarkEnd w:id="30"/>
    </w:p>
    <w:p w14:paraId="2DF44D04" w14:textId="560D8E30" w:rsidR="00832AEC" w:rsidRDefault="00C20F49" w:rsidP="003D3930">
      <w:pPr>
        <w:pStyle w:val="ListParagraph"/>
        <w:numPr>
          <w:ilvl w:val="0"/>
          <w:numId w:val="8"/>
        </w:numPr>
        <w:rPr>
          <w:noProof/>
        </w:rPr>
      </w:pPr>
      <w:bookmarkStart w:id="31" w:name="_Ref133918202"/>
      <w:r w:rsidRPr="002A1AFD">
        <w:rPr>
          <w:noProof/>
        </w:rPr>
        <w:t>R2-2303173 “On Interference Reporting and Height-dependent Configuration Adjustments for UAVs”, Nokia, Nokia Shanghai Bell, April 2023</w:t>
      </w:r>
      <w:bookmarkEnd w:id="29"/>
      <w:bookmarkEnd w:id="31"/>
    </w:p>
    <w:p w14:paraId="791DB63F" w14:textId="1D842C72" w:rsidR="00AD5686" w:rsidRDefault="00AD5686" w:rsidP="003D3930">
      <w:pPr>
        <w:pStyle w:val="ListParagraph"/>
        <w:numPr>
          <w:ilvl w:val="0"/>
          <w:numId w:val="8"/>
        </w:numPr>
        <w:rPr>
          <w:noProof/>
        </w:rPr>
      </w:pPr>
      <w:bookmarkStart w:id="32" w:name="_Ref142512555"/>
      <w:r>
        <w:rPr>
          <w:noProof/>
        </w:rPr>
        <w:t xml:space="preserve">R2-2209301 “Report of 3GPP TSG RAN WG2 meeting #119-e Online, </w:t>
      </w:r>
      <w:r w:rsidR="00DA6E81">
        <w:rPr>
          <w:noProof/>
        </w:rPr>
        <w:t>3GPP TSG-RAN WG2 Meeting #119, Toulouse, August 2022</w:t>
      </w:r>
      <w:bookmarkEnd w:id="32"/>
    </w:p>
    <w:p w14:paraId="0299ADA8" w14:textId="77777777" w:rsidR="00D85034" w:rsidRPr="002A1AFD" w:rsidRDefault="00D85034" w:rsidP="00D85034">
      <w:pPr>
        <w:pStyle w:val="ListParagraph"/>
        <w:rPr>
          <w:noProof/>
        </w:rPr>
      </w:pPr>
    </w:p>
    <w:sectPr w:rsidR="00D85034" w:rsidRPr="002A1AFD">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72AE7" w14:textId="77777777" w:rsidR="00461E12" w:rsidRDefault="00461E12">
      <w:r>
        <w:separator/>
      </w:r>
    </w:p>
  </w:endnote>
  <w:endnote w:type="continuationSeparator" w:id="0">
    <w:p w14:paraId="727D5458" w14:textId="77777777" w:rsidR="00461E12" w:rsidRDefault="00461E12">
      <w:r>
        <w:continuationSeparator/>
      </w:r>
    </w:p>
  </w:endnote>
  <w:endnote w:type="continuationNotice" w:id="1">
    <w:p w14:paraId="6D361855" w14:textId="77777777" w:rsidR="00461E12" w:rsidRDefault="00461E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657FA" w14:textId="77777777" w:rsidR="00461E12" w:rsidRDefault="00461E12">
      <w:r>
        <w:separator/>
      </w:r>
    </w:p>
  </w:footnote>
  <w:footnote w:type="continuationSeparator" w:id="0">
    <w:p w14:paraId="0DBFBF28" w14:textId="77777777" w:rsidR="00461E12" w:rsidRDefault="00461E12">
      <w:r>
        <w:continuationSeparator/>
      </w:r>
    </w:p>
  </w:footnote>
  <w:footnote w:type="continuationNotice" w:id="1">
    <w:p w14:paraId="1349C59C" w14:textId="77777777" w:rsidR="00461E12" w:rsidRDefault="00461E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EF78A8"/>
    <w:multiLevelType w:val="hybridMultilevel"/>
    <w:tmpl w:val="470E3364"/>
    <w:lvl w:ilvl="0" w:tplc="5E66FF5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BA62858"/>
    <w:multiLevelType w:val="hybridMultilevel"/>
    <w:tmpl w:val="DBA018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DE27DB2"/>
    <w:multiLevelType w:val="hybridMultilevel"/>
    <w:tmpl w:val="6C7062F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96D56AB"/>
    <w:multiLevelType w:val="hybridMultilevel"/>
    <w:tmpl w:val="4CB66270"/>
    <w:lvl w:ilvl="0" w:tplc="D1DA2F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C67027E"/>
    <w:multiLevelType w:val="hybridMultilevel"/>
    <w:tmpl w:val="75E0A55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1145C71"/>
    <w:multiLevelType w:val="hybridMultilevel"/>
    <w:tmpl w:val="2DE88544"/>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201268D"/>
    <w:multiLevelType w:val="hybridMultilevel"/>
    <w:tmpl w:val="C452345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7B20589"/>
    <w:multiLevelType w:val="hybridMultilevel"/>
    <w:tmpl w:val="ED6854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CDF28E7"/>
    <w:multiLevelType w:val="hybridMultilevel"/>
    <w:tmpl w:val="7C5C34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C2356E"/>
    <w:multiLevelType w:val="hybridMultilevel"/>
    <w:tmpl w:val="A2BED2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FAE5700"/>
    <w:multiLevelType w:val="hybridMultilevel"/>
    <w:tmpl w:val="470E336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9009482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72239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0035848">
    <w:abstractNumId w:val="1"/>
  </w:num>
  <w:num w:numId="4" w16cid:durableId="256864805">
    <w:abstractNumId w:val="6"/>
  </w:num>
  <w:num w:numId="5" w16cid:durableId="883637697">
    <w:abstractNumId w:val="5"/>
  </w:num>
  <w:num w:numId="6" w16cid:durableId="1238780508">
    <w:abstractNumId w:val="10"/>
  </w:num>
  <w:num w:numId="7" w16cid:durableId="1755930199">
    <w:abstractNumId w:val="11"/>
  </w:num>
  <w:num w:numId="8" w16cid:durableId="2077432569">
    <w:abstractNumId w:val="9"/>
  </w:num>
  <w:num w:numId="9" w16cid:durableId="1808859424">
    <w:abstractNumId w:val="18"/>
  </w:num>
  <w:num w:numId="10" w16cid:durableId="1256666109">
    <w:abstractNumId w:val="13"/>
  </w:num>
  <w:num w:numId="11" w16cid:durableId="2312380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772216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41815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890364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2995268">
    <w:abstractNumId w:val="12"/>
  </w:num>
  <w:num w:numId="16" w16cid:durableId="2123651446">
    <w:abstractNumId w:val="13"/>
  </w:num>
  <w:num w:numId="17" w16cid:durableId="176237305">
    <w:abstractNumId w:val="7"/>
  </w:num>
  <w:num w:numId="18" w16cid:durableId="467476426">
    <w:abstractNumId w:val="15"/>
  </w:num>
  <w:num w:numId="19" w16cid:durableId="1380131161">
    <w:abstractNumId w:val="3"/>
  </w:num>
  <w:num w:numId="20" w16cid:durableId="490295391">
    <w:abstractNumId w:val="4"/>
  </w:num>
  <w:num w:numId="21" w16cid:durableId="1357266462">
    <w:abstractNumId w:val="8"/>
  </w:num>
  <w:num w:numId="22" w16cid:durableId="144472349">
    <w:abstractNumId w:val="2"/>
  </w:num>
  <w:num w:numId="23" w16cid:durableId="13709109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18"/>
    <w:rsid w:val="00000AFC"/>
    <w:rsid w:val="000014C8"/>
    <w:rsid w:val="000016C0"/>
    <w:rsid w:val="00002C66"/>
    <w:rsid w:val="00002E07"/>
    <w:rsid w:val="00004F9E"/>
    <w:rsid w:val="00006C10"/>
    <w:rsid w:val="00006F68"/>
    <w:rsid w:val="00010098"/>
    <w:rsid w:val="00010956"/>
    <w:rsid w:val="00011165"/>
    <w:rsid w:val="00011AA3"/>
    <w:rsid w:val="00011D6D"/>
    <w:rsid w:val="0001374F"/>
    <w:rsid w:val="000147D8"/>
    <w:rsid w:val="000157E8"/>
    <w:rsid w:val="00016557"/>
    <w:rsid w:val="00021AB9"/>
    <w:rsid w:val="00022354"/>
    <w:rsid w:val="0002283E"/>
    <w:rsid w:val="000232B5"/>
    <w:rsid w:val="00023C40"/>
    <w:rsid w:val="00024186"/>
    <w:rsid w:val="00025472"/>
    <w:rsid w:val="00025BAA"/>
    <w:rsid w:val="00025D72"/>
    <w:rsid w:val="000261A7"/>
    <w:rsid w:val="00030169"/>
    <w:rsid w:val="00030B97"/>
    <w:rsid w:val="00030D51"/>
    <w:rsid w:val="000326F1"/>
    <w:rsid w:val="00032B08"/>
    <w:rsid w:val="00033397"/>
    <w:rsid w:val="00040095"/>
    <w:rsid w:val="00042B01"/>
    <w:rsid w:val="000443FA"/>
    <w:rsid w:val="00044AD5"/>
    <w:rsid w:val="0004707C"/>
    <w:rsid w:val="000470DB"/>
    <w:rsid w:val="0005038E"/>
    <w:rsid w:val="0005260C"/>
    <w:rsid w:val="00053213"/>
    <w:rsid w:val="0005454C"/>
    <w:rsid w:val="0005490B"/>
    <w:rsid w:val="000553DB"/>
    <w:rsid w:val="000555AB"/>
    <w:rsid w:val="00055DB8"/>
    <w:rsid w:val="00056BA9"/>
    <w:rsid w:val="000579BC"/>
    <w:rsid w:val="00060214"/>
    <w:rsid w:val="000608EE"/>
    <w:rsid w:val="00061137"/>
    <w:rsid w:val="0006192D"/>
    <w:rsid w:val="0006301D"/>
    <w:rsid w:val="00064309"/>
    <w:rsid w:val="00064414"/>
    <w:rsid w:val="00065268"/>
    <w:rsid w:val="00065D43"/>
    <w:rsid w:val="00066648"/>
    <w:rsid w:val="00066EAC"/>
    <w:rsid w:val="000676FE"/>
    <w:rsid w:val="00070D8C"/>
    <w:rsid w:val="000714FF"/>
    <w:rsid w:val="000722D1"/>
    <w:rsid w:val="00073C85"/>
    <w:rsid w:val="00073C9C"/>
    <w:rsid w:val="0007557B"/>
    <w:rsid w:val="00076412"/>
    <w:rsid w:val="00076504"/>
    <w:rsid w:val="00077857"/>
    <w:rsid w:val="00077A33"/>
    <w:rsid w:val="00080512"/>
    <w:rsid w:val="00081736"/>
    <w:rsid w:val="00084BB6"/>
    <w:rsid w:val="00087352"/>
    <w:rsid w:val="00090468"/>
    <w:rsid w:val="00091E13"/>
    <w:rsid w:val="00092ADA"/>
    <w:rsid w:val="00094568"/>
    <w:rsid w:val="00095BA8"/>
    <w:rsid w:val="00095DC9"/>
    <w:rsid w:val="00095E5D"/>
    <w:rsid w:val="0009794B"/>
    <w:rsid w:val="00097CCF"/>
    <w:rsid w:val="000A094B"/>
    <w:rsid w:val="000A1292"/>
    <w:rsid w:val="000A201B"/>
    <w:rsid w:val="000A2134"/>
    <w:rsid w:val="000A6E84"/>
    <w:rsid w:val="000A74DF"/>
    <w:rsid w:val="000B1BBA"/>
    <w:rsid w:val="000B2506"/>
    <w:rsid w:val="000B3A69"/>
    <w:rsid w:val="000B7BCF"/>
    <w:rsid w:val="000C035A"/>
    <w:rsid w:val="000C1321"/>
    <w:rsid w:val="000C1BF8"/>
    <w:rsid w:val="000C4D2D"/>
    <w:rsid w:val="000C4FD2"/>
    <w:rsid w:val="000C522B"/>
    <w:rsid w:val="000C5A57"/>
    <w:rsid w:val="000C5E67"/>
    <w:rsid w:val="000D00A8"/>
    <w:rsid w:val="000D0333"/>
    <w:rsid w:val="000D1DCE"/>
    <w:rsid w:val="000D2BED"/>
    <w:rsid w:val="000D58AB"/>
    <w:rsid w:val="000D5AFD"/>
    <w:rsid w:val="000D7E84"/>
    <w:rsid w:val="000E1588"/>
    <w:rsid w:val="000E21C3"/>
    <w:rsid w:val="000E39BF"/>
    <w:rsid w:val="000E3E1F"/>
    <w:rsid w:val="000E5007"/>
    <w:rsid w:val="000E5472"/>
    <w:rsid w:val="000E6F0D"/>
    <w:rsid w:val="000E6F67"/>
    <w:rsid w:val="000F0862"/>
    <w:rsid w:val="000F0927"/>
    <w:rsid w:val="000F151C"/>
    <w:rsid w:val="000F1792"/>
    <w:rsid w:val="000F2339"/>
    <w:rsid w:val="000F26E8"/>
    <w:rsid w:val="000F3775"/>
    <w:rsid w:val="000F58D3"/>
    <w:rsid w:val="0010380A"/>
    <w:rsid w:val="00104427"/>
    <w:rsid w:val="001049DC"/>
    <w:rsid w:val="00104CED"/>
    <w:rsid w:val="00106AEF"/>
    <w:rsid w:val="00106E15"/>
    <w:rsid w:val="001074EE"/>
    <w:rsid w:val="00107F7D"/>
    <w:rsid w:val="00111BCF"/>
    <w:rsid w:val="00112402"/>
    <w:rsid w:val="00112F1A"/>
    <w:rsid w:val="00115BC0"/>
    <w:rsid w:val="00122887"/>
    <w:rsid w:val="00123FC7"/>
    <w:rsid w:val="0012460E"/>
    <w:rsid w:val="00126957"/>
    <w:rsid w:val="001307F0"/>
    <w:rsid w:val="001340A8"/>
    <w:rsid w:val="00134F37"/>
    <w:rsid w:val="00137120"/>
    <w:rsid w:val="0013759B"/>
    <w:rsid w:val="00137F89"/>
    <w:rsid w:val="00140939"/>
    <w:rsid w:val="0014170F"/>
    <w:rsid w:val="0014381D"/>
    <w:rsid w:val="0014472E"/>
    <w:rsid w:val="00144E7A"/>
    <w:rsid w:val="00145075"/>
    <w:rsid w:val="00146425"/>
    <w:rsid w:val="00150020"/>
    <w:rsid w:val="00150489"/>
    <w:rsid w:val="00150AA3"/>
    <w:rsid w:val="00150CC4"/>
    <w:rsid w:val="00150EE7"/>
    <w:rsid w:val="001517B2"/>
    <w:rsid w:val="00151A62"/>
    <w:rsid w:val="0015255D"/>
    <w:rsid w:val="001527F2"/>
    <w:rsid w:val="00153838"/>
    <w:rsid w:val="0015467C"/>
    <w:rsid w:val="00154E1E"/>
    <w:rsid w:val="00156236"/>
    <w:rsid w:val="00157D22"/>
    <w:rsid w:val="00157F54"/>
    <w:rsid w:val="001604CD"/>
    <w:rsid w:val="00160507"/>
    <w:rsid w:val="00160BAE"/>
    <w:rsid w:val="00161655"/>
    <w:rsid w:val="00161680"/>
    <w:rsid w:val="001629EF"/>
    <w:rsid w:val="00162D43"/>
    <w:rsid w:val="00163A04"/>
    <w:rsid w:val="00163E51"/>
    <w:rsid w:val="00165A38"/>
    <w:rsid w:val="00165CF6"/>
    <w:rsid w:val="00165EA8"/>
    <w:rsid w:val="00166777"/>
    <w:rsid w:val="00166C0A"/>
    <w:rsid w:val="0016769B"/>
    <w:rsid w:val="00167947"/>
    <w:rsid w:val="00170EE0"/>
    <w:rsid w:val="0017207E"/>
    <w:rsid w:val="00173973"/>
    <w:rsid w:val="001741A0"/>
    <w:rsid w:val="00174C4F"/>
    <w:rsid w:val="00175D9F"/>
    <w:rsid w:val="00175FA0"/>
    <w:rsid w:val="00180D51"/>
    <w:rsid w:val="00183CF7"/>
    <w:rsid w:val="00184096"/>
    <w:rsid w:val="00184369"/>
    <w:rsid w:val="00187793"/>
    <w:rsid w:val="00190980"/>
    <w:rsid w:val="001912F3"/>
    <w:rsid w:val="0019190D"/>
    <w:rsid w:val="0019265E"/>
    <w:rsid w:val="00194294"/>
    <w:rsid w:val="00194CD0"/>
    <w:rsid w:val="00196BA9"/>
    <w:rsid w:val="00197AF4"/>
    <w:rsid w:val="001A14DE"/>
    <w:rsid w:val="001A2761"/>
    <w:rsid w:val="001A347D"/>
    <w:rsid w:val="001A4B5A"/>
    <w:rsid w:val="001A50EA"/>
    <w:rsid w:val="001A54B7"/>
    <w:rsid w:val="001A61D5"/>
    <w:rsid w:val="001A6ACA"/>
    <w:rsid w:val="001B11EF"/>
    <w:rsid w:val="001B2EEE"/>
    <w:rsid w:val="001B49C9"/>
    <w:rsid w:val="001B609E"/>
    <w:rsid w:val="001B753C"/>
    <w:rsid w:val="001B757F"/>
    <w:rsid w:val="001C04BB"/>
    <w:rsid w:val="001C161E"/>
    <w:rsid w:val="001C23F4"/>
    <w:rsid w:val="001C3991"/>
    <w:rsid w:val="001C4F79"/>
    <w:rsid w:val="001C57F0"/>
    <w:rsid w:val="001C5FA3"/>
    <w:rsid w:val="001C79C5"/>
    <w:rsid w:val="001D2497"/>
    <w:rsid w:val="001D2519"/>
    <w:rsid w:val="001D44FD"/>
    <w:rsid w:val="001D50E6"/>
    <w:rsid w:val="001D5195"/>
    <w:rsid w:val="001D56AD"/>
    <w:rsid w:val="001D5777"/>
    <w:rsid w:val="001D5E1F"/>
    <w:rsid w:val="001D6AD9"/>
    <w:rsid w:val="001D75C9"/>
    <w:rsid w:val="001E054E"/>
    <w:rsid w:val="001E0C09"/>
    <w:rsid w:val="001E0C39"/>
    <w:rsid w:val="001E1FC2"/>
    <w:rsid w:val="001E2915"/>
    <w:rsid w:val="001E2C11"/>
    <w:rsid w:val="001F1267"/>
    <w:rsid w:val="001F168B"/>
    <w:rsid w:val="001F19DA"/>
    <w:rsid w:val="001F1D3C"/>
    <w:rsid w:val="001F33DE"/>
    <w:rsid w:val="001F5CA4"/>
    <w:rsid w:val="001F5E99"/>
    <w:rsid w:val="001F6681"/>
    <w:rsid w:val="001F6EEE"/>
    <w:rsid w:val="001F7831"/>
    <w:rsid w:val="00202DE9"/>
    <w:rsid w:val="0020397B"/>
    <w:rsid w:val="00204045"/>
    <w:rsid w:val="0020452C"/>
    <w:rsid w:val="002046F9"/>
    <w:rsid w:val="0020712B"/>
    <w:rsid w:val="00207C04"/>
    <w:rsid w:val="0021120B"/>
    <w:rsid w:val="0021226C"/>
    <w:rsid w:val="00213F7D"/>
    <w:rsid w:val="0021498E"/>
    <w:rsid w:val="0021649F"/>
    <w:rsid w:val="0021716F"/>
    <w:rsid w:val="00217F5F"/>
    <w:rsid w:val="00221383"/>
    <w:rsid w:val="0022243D"/>
    <w:rsid w:val="0022606D"/>
    <w:rsid w:val="00226301"/>
    <w:rsid w:val="002263FA"/>
    <w:rsid w:val="00231728"/>
    <w:rsid w:val="00231C27"/>
    <w:rsid w:val="00233B8B"/>
    <w:rsid w:val="002341D0"/>
    <w:rsid w:val="0023444A"/>
    <w:rsid w:val="00234945"/>
    <w:rsid w:val="0023603E"/>
    <w:rsid w:val="0023653B"/>
    <w:rsid w:val="002408C1"/>
    <w:rsid w:val="00242093"/>
    <w:rsid w:val="002425EC"/>
    <w:rsid w:val="0024471E"/>
    <w:rsid w:val="00244A05"/>
    <w:rsid w:val="00245996"/>
    <w:rsid w:val="0024634D"/>
    <w:rsid w:val="00247383"/>
    <w:rsid w:val="00247766"/>
    <w:rsid w:val="00250404"/>
    <w:rsid w:val="0025170B"/>
    <w:rsid w:val="00251FCF"/>
    <w:rsid w:val="002540F8"/>
    <w:rsid w:val="0025571F"/>
    <w:rsid w:val="00255938"/>
    <w:rsid w:val="002561D9"/>
    <w:rsid w:val="00256B74"/>
    <w:rsid w:val="00260687"/>
    <w:rsid w:val="002610D8"/>
    <w:rsid w:val="0026117A"/>
    <w:rsid w:val="00263659"/>
    <w:rsid w:val="00264F17"/>
    <w:rsid w:val="002651BB"/>
    <w:rsid w:val="00266394"/>
    <w:rsid w:val="00266400"/>
    <w:rsid w:val="002669E8"/>
    <w:rsid w:val="002747EC"/>
    <w:rsid w:val="002753E8"/>
    <w:rsid w:val="0027650B"/>
    <w:rsid w:val="00276BBD"/>
    <w:rsid w:val="002810CA"/>
    <w:rsid w:val="00282345"/>
    <w:rsid w:val="002825BD"/>
    <w:rsid w:val="00283D0F"/>
    <w:rsid w:val="002854D2"/>
    <w:rsid w:val="002855BF"/>
    <w:rsid w:val="002857A6"/>
    <w:rsid w:val="00285840"/>
    <w:rsid w:val="002858D2"/>
    <w:rsid w:val="00286A65"/>
    <w:rsid w:val="00287FE0"/>
    <w:rsid w:val="00290F4C"/>
    <w:rsid w:val="00293503"/>
    <w:rsid w:val="00294321"/>
    <w:rsid w:val="00294869"/>
    <w:rsid w:val="002979CB"/>
    <w:rsid w:val="002A1AFD"/>
    <w:rsid w:val="002A1C51"/>
    <w:rsid w:val="002A34DB"/>
    <w:rsid w:val="002A477B"/>
    <w:rsid w:val="002A5AA6"/>
    <w:rsid w:val="002A69FF"/>
    <w:rsid w:val="002A7268"/>
    <w:rsid w:val="002A7720"/>
    <w:rsid w:val="002B0D72"/>
    <w:rsid w:val="002B121B"/>
    <w:rsid w:val="002B15CD"/>
    <w:rsid w:val="002B2988"/>
    <w:rsid w:val="002B332F"/>
    <w:rsid w:val="002B3500"/>
    <w:rsid w:val="002B3AE5"/>
    <w:rsid w:val="002B44E9"/>
    <w:rsid w:val="002B59DA"/>
    <w:rsid w:val="002B6703"/>
    <w:rsid w:val="002C283C"/>
    <w:rsid w:val="002C545C"/>
    <w:rsid w:val="002D395A"/>
    <w:rsid w:val="002D5056"/>
    <w:rsid w:val="002D6158"/>
    <w:rsid w:val="002D6B73"/>
    <w:rsid w:val="002D7956"/>
    <w:rsid w:val="002E08A1"/>
    <w:rsid w:val="002E1BEE"/>
    <w:rsid w:val="002E2739"/>
    <w:rsid w:val="002E334C"/>
    <w:rsid w:val="002E49AC"/>
    <w:rsid w:val="002E7F54"/>
    <w:rsid w:val="002F0D22"/>
    <w:rsid w:val="002F72A0"/>
    <w:rsid w:val="002F7B65"/>
    <w:rsid w:val="00301E52"/>
    <w:rsid w:val="0030226E"/>
    <w:rsid w:val="00302350"/>
    <w:rsid w:val="003035D9"/>
    <w:rsid w:val="0030480F"/>
    <w:rsid w:val="003060F0"/>
    <w:rsid w:val="003100AF"/>
    <w:rsid w:val="00311A05"/>
    <w:rsid w:val="00311B17"/>
    <w:rsid w:val="00312B65"/>
    <w:rsid w:val="00313108"/>
    <w:rsid w:val="0031342A"/>
    <w:rsid w:val="00313525"/>
    <w:rsid w:val="003136CC"/>
    <w:rsid w:val="00314D10"/>
    <w:rsid w:val="003155B3"/>
    <w:rsid w:val="003167B7"/>
    <w:rsid w:val="003172DC"/>
    <w:rsid w:val="00317D3C"/>
    <w:rsid w:val="00320DE0"/>
    <w:rsid w:val="00321BF5"/>
    <w:rsid w:val="0032292A"/>
    <w:rsid w:val="00322A54"/>
    <w:rsid w:val="00322C46"/>
    <w:rsid w:val="00325AE3"/>
    <w:rsid w:val="00326069"/>
    <w:rsid w:val="0033255F"/>
    <w:rsid w:val="003332B7"/>
    <w:rsid w:val="003341DC"/>
    <w:rsid w:val="00336AE9"/>
    <w:rsid w:val="00336BB0"/>
    <w:rsid w:val="003376E2"/>
    <w:rsid w:val="00337AFB"/>
    <w:rsid w:val="003404E4"/>
    <w:rsid w:val="00342FB7"/>
    <w:rsid w:val="0034489B"/>
    <w:rsid w:val="00344BCC"/>
    <w:rsid w:val="003457FC"/>
    <w:rsid w:val="003471A5"/>
    <w:rsid w:val="00347406"/>
    <w:rsid w:val="0034743D"/>
    <w:rsid w:val="00347EB3"/>
    <w:rsid w:val="0035379B"/>
    <w:rsid w:val="0035462D"/>
    <w:rsid w:val="00354919"/>
    <w:rsid w:val="0035782F"/>
    <w:rsid w:val="00357839"/>
    <w:rsid w:val="00360FAB"/>
    <w:rsid w:val="00361BA0"/>
    <w:rsid w:val="00361CF0"/>
    <w:rsid w:val="00362436"/>
    <w:rsid w:val="003629B5"/>
    <w:rsid w:val="0036371F"/>
    <w:rsid w:val="0036424A"/>
    <w:rsid w:val="0036459E"/>
    <w:rsid w:val="0036493D"/>
    <w:rsid w:val="00364B41"/>
    <w:rsid w:val="003654A7"/>
    <w:rsid w:val="00365AFA"/>
    <w:rsid w:val="00366C01"/>
    <w:rsid w:val="00367562"/>
    <w:rsid w:val="00367710"/>
    <w:rsid w:val="00370241"/>
    <w:rsid w:val="0037065B"/>
    <w:rsid w:val="003723AD"/>
    <w:rsid w:val="00372596"/>
    <w:rsid w:val="003729B9"/>
    <w:rsid w:val="00373EB4"/>
    <w:rsid w:val="003745F8"/>
    <w:rsid w:val="00374F81"/>
    <w:rsid w:val="00377684"/>
    <w:rsid w:val="0037785C"/>
    <w:rsid w:val="00381C4F"/>
    <w:rsid w:val="00382F18"/>
    <w:rsid w:val="00383096"/>
    <w:rsid w:val="00383775"/>
    <w:rsid w:val="00383944"/>
    <w:rsid w:val="00390C28"/>
    <w:rsid w:val="00390E1E"/>
    <w:rsid w:val="0039211C"/>
    <w:rsid w:val="00393094"/>
    <w:rsid w:val="0039346C"/>
    <w:rsid w:val="00394D20"/>
    <w:rsid w:val="003A4161"/>
    <w:rsid w:val="003A41EF"/>
    <w:rsid w:val="003A4219"/>
    <w:rsid w:val="003A4948"/>
    <w:rsid w:val="003A4A31"/>
    <w:rsid w:val="003A54D1"/>
    <w:rsid w:val="003A70BB"/>
    <w:rsid w:val="003B06F5"/>
    <w:rsid w:val="003B107D"/>
    <w:rsid w:val="003B200B"/>
    <w:rsid w:val="003B40AD"/>
    <w:rsid w:val="003B49F5"/>
    <w:rsid w:val="003B4E12"/>
    <w:rsid w:val="003B707F"/>
    <w:rsid w:val="003C09BF"/>
    <w:rsid w:val="003C0A5F"/>
    <w:rsid w:val="003C0C91"/>
    <w:rsid w:val="003C15C1"/>
    <w:rsid w:val="003C23BD"/>
    <w:rsid w:val="003C2F50"/>
    <w:rsid w:val="003C32C6"/>
    <w:rsid w:val="003C3859"/>
    <w:rsid w:val="003C3BE4"/>
    <w:rsid w:val="003C4264"/>
    <w:rsid w:val="003C480A"/>
    <w:rsid w:val="003C4E37"/>
    <w:rsid w:val="003C6549"/>
    <w:rsid w:val="003D0240"/>
    <w:rsid w:val="003D0915"/>
    <w:rsid w:val="003D0F3F"/>
    <w:rsid w:val="003D1371"/>
    <w:rsid w:val="003D3872"/>
    <w:rsid w:val="003D3930"/>
    <w:rsid w:val="003D4415"/>
    <w:rsid w:val="003D4537"/>
    <w:rsid w:val="003D4783"/>
    <w:rsid w:val="003D497B"/>
    <w:rsid w:val="003D5AF7"/>
    <w:rsid w:val="003D5B07"/>
    <w:rsid w:val="003D5CC3"/>
    <w:rsid w:val="003D7758"/>
    <w:rsid w:val="003D7C88"/>
    <w:rsid w:val="003E0C2E"/>
    <w:rsid w:val="003E16BE"/>
    <w:rsid w:val="003E2785"/>
    <w:rsid w:val="003E2DB0"/>
    <w:rsid w:val="003E2EB5"/>
    <w:rsid w:val="003E3AB4"/>
    <w:rsid w:val="003E7C5A"/>
    <w:rsid w:val="003F4E28"/>
    <w:rsid w:val="004006E8"/>
    <w:rsid w:val="0040149A"/>
    <w:rsid w:val="00401855"/>
    <w:rsid w:val="0040188D"/>
    <w:rsid w:val="0040232F"/>
    <w:rsid w:val="004032FD"/>
    <w:rsid w:val="0040407D"/>
    <w:rsid w:val="00404C8C"/>
    <w:rsid w:val="0040574F"/>
    <w:rsid w:val="004121BD"/>
    <w:rsid w:val="00412F6C"/>
    <w:rsid w:val="0041335A"/>
    <w:rsid w:val="00415052"/>
    <w:rsid w:val="00416234"/>
    <w:rsid w:val="00416D21"/>
    <w:rsid w:val="004175F8"/>
    <w:rsid w:val="004219FE"/>
    <w:rsid w:val="00421B26"/>
    <w:rsid w:val="0042235A"/>
    <w:rsid w:val="00422460"/>
    <w:rsid w:val="00422521"/>
    <w:rsid w:val="004235D9"/>
    <w:rsid w:val="00424339"/>
    <w:rsid w:val="00424845"/>
    <w:rsid w:val="00424890"/>
    <w:rsid w:val="0042509E"/>
    <w:rsid w:val="00425700"/>
    <w:rsid w:val="004259A6"/>
    <w:rsid w:val="004277C5"/>
    <w:rsid w:val="0043031C"/>
    <w:rsid w:val="004308F0"/>
    <w:rsid w:val="00432DA9"/>
    <w:rsid w:val="0043378B"/>
    <w:rsid w:val="00435D52"/>
    <w:rsid w:val="0043771C"/>
    <w:rsid w:val="004378A8"/>
    <w:rsid w:val="00440189"/>
    <w:rsid w:val="00440A1D"/>
    <w:rsid w:val="00441A3B"/>
    <w:rsid w:val="00441E7B"/>
    <w:rsid w:val="004427A7"/>
    <w:rsid w:val="0044437B"/>
    <w:rsid w:val="0044676E"/>
    <w:rsid w:val="00446C3A"/>
    <w:rsid w:val="004520FD"/>
    <w:rsid w:val="00454E85"/>
    <w:rsid w:val="004564B9"/>
    <w:rsid w:val="00456BB6"/>
    <w:rsid w:val="00461E12"/>
    <w:rsid w:val="00462EFE"/>
    <w:rsid w:val="00465587"/>
    <w:rsid w:val="0046569A"/>
    <w:rsid w:val="00465B2F"/>
    <w:rsid w:val="00471011"/>
    <w:rsid w:val="004723A8"/>
    <w:rsid w:val="004730E0"/>
    <w:rsid w:val="004765B4"/>
    <w:rsid w:val="00477028"/>
    <w:rsid w:val="00477455"/>
    <w:rsid w:val="00480D2E"/>
    <w:rsid w:val="00481A1D"/>
    <w:rsid w:val="00483689"/>
    <w:rsid w:val="004836C7"/>
    <w:rsid w:val="00483B45"/>
    <w:rsid w:val="00485EB8"/>
    <w:rsid w:val="00486E58"/>
    <w:rsid w:val="0049018D"/>
    <w:rsid w:val="00490ED7"/>
    <w:rsid w:val="00493CD1"/>
    <w:rsid w:val="004944BA"/>
    <w:rsid w:val="004944F1"/>
    <w:rsid w:val="00495F48"/>
    <w:rsid w:val="004A03B2"/>
    <w:rsid w:val="004A0AAF"/>
    <w:rsid w:val="004A0B05"/>
    <w:rsid w:val="004A160F"/>
    <w:rsid w:val="004A1F7B"/>
    <w:rsid w:val="004A5F3E"/>
    <w:rsid w:val="004A6B73"/>
    <w:rsid w:val="004A7CB1"/>
    <w:rsid w:val="004A7D0C"/>
    <w:rsid w:val="004B34F9"/>
    <w:rsid w:val="004B4523"/>
    <w:rsid w:val="004B4DB8"/>
    <w:rsid w:val="004B5AE6"/>
    <w:rsid w:val="004B5BB0"/>
    <w:rsid w:val="004B62BC"/>
    <w:rsid w:val="004B6C0B"/>
    <w:rsid w:val="004B799B"/>
    <w:rsid w:val="004B7EA6"/>
    <w:rsid w:val="004C0447"/>
    <w:rsid w:val="004C098D"/>
    <w:rsid w:val="004C38BB"/>
    <w:rsid w:val="004C44D2"/>
    <w:rsid w:val="004C461A"/>
    <w:rsid w:val="004C4B36"/>
    <w:rsid w:val="004C53E9"/>
    <w:rsid w:val="004C6B5D"/>
    <w:rsid w:val="004D1083"/>
    <w:rsid w:val="004D20D8"/>
    <w:rsid w:val="004D290E"/>
    <w:rsid w:val="004D3578"/>
    <w:rsid w:val="004D380D"/>
    <w:rsid w:val="004D4061"/>
    <w:rsid w:val="004D4F55"/>
    <w:rsid w:val="004D6527"/>
    <w:rsid w:val="004D68CD"/>
    <w:rsid w:val="004D7FF5"/>
    <w:rsid w:val="004E0CFB"/>
    <w:rsid w:val="004E0E4B"/>
    <w:rsid w:val="004E213A"/>
    <w:rsid w:val="004E235B"/>
    <w:rsid w:val="004E2CB0"/>
    <w:rsid w:val="004E34E2"/>
    <w:rsid w:val="004E49CD"/>
    <w:rsid w:val="004E4C6B"/>
    <w:rsid w:val="004E4D6B"/>
    <w:rsid w:val="004E5EB1"/>
    <w:rsid w:val="004E6375"/>
    <w:rsid w:val="004E6393"/>
    <w:rsid w:val="004E6665"/>
    <w:rsid w:val="004F1834"/>
    <w:rsid w:val="004F1F73"/>
    <w:rsid w:val="004F2506"/>
    <w:rsid w:val="004F3A5D"/>
    <w:rsid w:val="004F4540"/>
    <w:rsid w:val="004F580E"/>
    <w:rsid w:val="004F73A7"/>
    <w:rsid w:val="004F73DE"/>
    <w:rsid w:val="004F7923"/>
    <w:rsid w:val="004F7979"/>
    <w:rsid w:val="00502734"/>
    <w:rsid w:val="00503171"/>
    <w:rsid w:val="00506C28"/>
    <w:rsid w:val="00507482"/>
    <w:rsid w:val="005078F4"/>
    <w:rsid w:val="00507BA3"/>
    <w:rsid w:val="00510C9E"/>
    <w:rsid w:val="00512E1D"/>
    <w:rsid w:val="0051400F"/>
    <w:rsid w:val="005147DA"/>
    <w:rsid w:val="005151F2"/>
    <w:rsid w:val="005152ED"/>
    <w:rsid w:val="00516775"/>
    <w:rsid w:val="00521747"/>
    <w:rsid w:val="00521E54"/>
    <w:rsid w:val="00522963"/>
    <w:rsid w:val="00523941"/>
    <w:rsid w:val="00523D85"/>
    <w:rsid w:val="00524FD0"/>
    <w:rsid w:val="005260A3"/>
    <w:rsid w:val="00530A77"/>
    <w:rsid w:val="0053225E"/>
    <w:rsid w:val="00533263"/>
    <w:rsid w:val="005333A2"/>
    <w:rsid w:val="00534DA0"/>
    <w:rsid w:val="00535DF1"/>
    <w:rsid w:val="005370FC"/>
    <w:rsid w:val="005408D7"/>
    <w:rsid w:val="00543E6C"/>
    <w:rsid w:val="00544244"/>
    <w:rsid w:val="00544775"/>
    <w:rsid w:val="0054524F"/>
    <w:rsid w:val="005458B7"/>
    <w:rsid w:val="00546DDE"/>
    <w:rsid w:val="00547D42"/>
    <w:rsid w:val="00554A1E"/>
    <w:rsid w:val="00554C19"/>
    <w:rsid w:val="00555A96"/>
    <w:rsid w:val="00556102"/>
    <w:rsid w:val="005569C4"/>
    <w:rsid w:val="005602C7"/>
    <w:rsid w:val="0056098F"/>
    <w:rsid w:val="00560B9E"/>
    <w:rsid w:val="005612E6"/>
    <w:rsid w:val="00565087"/>
    <w:rsid w:val="0056573F"/>
    <w:rsid w:val="00567845"/>
    <w:rsid w:val="00571279"/>
    <w:rsid w:val="005713A5"/>
    <w:rsid w:val="005719C9"/>
    <w:rsid w:val="005720EF"/>
    <w:rsid w:val="00572FCE"/>
    <w:rsid w:val="005741F5"/>
    <w:rsid w:val="005746BE"/>
    <w:rsid w:val="005812BA"/>
    <w:rsid w:val="00581B32"/>
    <w:rsid w:val="00581F75"/>
    <w:rsid w:val="005835D0"/>
    <w:rsid w:val="00585084"/>
    <w:rsid w:val="0058561C"/>
    <w:rsid w:val="00585D78"/>
    <w:rsid w:val="00587575"/>
    <w:rsid w:val="00590B3E"/>
    <w:rsid w:val="00592267"/>
    <w:rsid w:val="005927BC"/>
    <w:rsid w:val="005936AE"/>
    <w:rsid w:val="00593B94"/>
    <w:rsid w:val="0059532A"/>
    <w:rsid w:val="005A13AB"/>
    <w:rsid w:val="005A3377"/>
    <w:rsid w:val="005A3BBC"/>
    <w:rsid w:val="005A3D20"/>
    <w:rsid w:val="005A4290"/>
    <w:rsid w:val="005A4712"/>
    <w:rsid w:val="005A49C6"/>
    <w:rsid w:val="005A6AAD"/>
    <w:rsid w:val="005A71A4"/>
    <w:rsid w:val="005B00D7"/>
    <w:rsid w:val="005B0FF2"/>
    <w:rsid w:val="005B24C8"/>
    <w:rsid w:val="005B2565"/>
    <w:rsid w:val="005B669A"/>
    <w:rsid w:val="005C13D2"/>
    <w:rsid w:val="005C214D"/>
    <w:rsid w:val="005C334C"/>
    <w:rsid w:val="005C3567"/>
    <w:rsid w:val="005C35F0"/>
    <w:rsid w:val="005C3ADC"/>
    <w:rsid w:val="005C68B1"/>
    <w:rsid w:val="005C71F7"/>
    <w:rsid w:val="005C766E"/>
    <w:rsid w:val="005C7CD5"/>
    <w:rsid w:val="005D0348"/>
    <w:rsid w:val="005D0905"/>
    <w:rsid w:val="005D1018"/>
    <w:rsid w:val="005D1A8B"/>
    <w:rsid w:val="005D2B81"/>
    <w:rsid w:val="005D3DE4"/>
    <w:rsid w:val="005D416E"/>
    <w:rsid w:val="005D5B88"/>
    <w:rsid w:val="005D5FE1"/>
    <w:rsid w:val="005E2D56"/>
    <w:rsid w:val="005E2E02"/>
    <w:rsid w:val="005E36E2"/>
    <w:rsid w:val="005E3CDB"/>
    <w:rsid w:val="005E4A7E"/>
    <w:rsid w:val="005E4B32"/>
    <w:rsid w:val="005E4E52"/>
    <w:rsid w:val="005E5C8A"/>
    <w:rsid w:val="005F07EB"/>
    <w:rsid w:val="005F1338"/>
    <w:rsid w:val="005F1496"/>
    <w:rsid w:val="005F196D"/>
    <w:rsid w:val="005F332B"/>
    <w:rsid w:val="005F35BC"/>
    <w:rsid w:val="005F41AC"/>
    <w:rsid w:val="005F49A8"/>
    <w:rsid w:val="005F5CAC"/>
    <w:rsid w:val="005F7BC4"/>
    <w:rsid w:val="00600769"/>
    <w:rsid w:val="00602596"/>
    <w:rsid w:val="00602A67"/>
    <w:rsid w:val="0060411A"/>
    <w:rsid w:val="0060475C"/>
    <w:rsid w:val="006058D8"/>
    <w:rsid w:val="00605CF3"/>
    <w:rsid w:val="00605EDB"/>
    <w:rsid w:val="006073DE"/>
    <w:rsid w:val="00607504"/>
    <w:rsid w:val="00607CFF"/>
    <w:rsid w:val="00611566"/>
    <w:rsid w:val="006125D5"/>
    <w:rsid w:val="00612818"/>
    <w:rsid w:val="00612FB1"/>
    <w:rsid w:val="0061331C"/>
    <w:rsid w:val="00615EBF"/>
    <w:rsid w:val="00617BD5"/>
    <w:rsid w:val="0062062D"/>
    <w:rsid w:val="00623150"/>
    <w:rsid w:val="0062366E"/>
    <w:rsid w:val="006242F0"/>
    <w:rsid w:val="00624412"/>
    <w:rsid w:val="00624F2F"/>
    <w:rsid w:val="0062506B"/>
    <w:rsid w:val="0062515C"/>
    <w:rsid w:val="0062556A"/>
    <w:rsid w:val="0062596D"/>
    <w:rsid w:val="00625BDE"/>
    <w:rsid w:val="00626C86"/>
    <w:rsid w:val="00627CC4"/>
    <w:rsid w:val="00631222"/>
    <w:rsid w:val="006320DD"/>
    <w:rsid w:val="006339AF"/>
    <w:rsid w:val="0063497E"/>
    <w:rsid w:val="00634BA8"/>
    <w:rsid w:val="0063558B"/>
    <w:rsid w:val="00635693"/>
    <w:rsid w:val="00640309"/>
    <w:rsid w:val="006405A6"/>
    <w:rsid w:val="0064143A"/>
    <w:rsid w:val="0064304C"/>
    <w:rsid w:val="0064308F"/>
    <w:rsid w:val="00643273"/>
    <w:rsid w:val="0064338E"/>
    <w:rsid w:val="00643393"/>
    <w:rsid w:val="00644E8F"/>
    <w:rsid w:val="00644EC1"/>
    <w:rsid w:val="0064632C"/>
    <w:rsid w:val="00646C92"/>
    <w:rsid w:val="00646D99"/>
    <w:rsid w:val="0064796C"/>
    <w:rsid w:val="00647A03"/>
    <w:rsid w:val="0065145A"/>
    <w:rsid w:val="00651F15"/>
    <w:rsid w:val="00654376"/>
    <w:rsid w:val="00654CE3"/>
    <w:rsid w:val="0065544E"/>
    <w:rsid w:val="0065546E"/>
    <w:rsid w:val="00656910"/>
    <w:rsid w:val="006574C0"/>
    <w:rsid w:val="00660627"/>
    <w:rsid w:val="006628FD"/>
    <w:rsid w:val="00663170"/>
    <w:rsid w:val="00665381"/>
    <w:rsid w:val="006663D3"/>
    <w:rsid w:val="006665B8"/>
    <w:rsid w:val="00672112"/>
    <w:rsid w:val="0067489B"/>
    <w:rsid w:val="00680D5A"/>
    <w:rsid w:val="00680F6F"/>
    <w:rsid w:val="006833D1"/>
    <w:rsid w:val="00683E31"/>
    <w:rsid w:val="00683E87"/>
    <w:rsid w:val="00683F31"/>
    <w:rsid w:val="00685417"/>
    <w:rsid w:val="0068542F"/>
    <w:rsid w:val="00687158"/>
    <w:rsid w:val="006878E8"/>
    <w:rsid w:val="00690F33"/>
    <w:rsid w:val="00691378"/>
    <w:rsid w:val="00691A26"/>
    <w:rsid w:val="006936CE"/>
    <w:rsid w:val="00693CEB"/>
    <w:rsid w:val="006946DC"/>
    <w:rsid w:val="006949E1"/>
    <w:rsid w:val="00696821"/>
    <w:rsid w:val="006972D1"/>
    <w:rsid w:val="00697600"/>
    <w:rsid w:val="006A0361"/>
    <w:rsid w:val="006A182F"/>
    <w:rsid w:val="006A279F"/>
    <w:rsid w:val="006A2E81"/>
    <w:rsid w:val="006A3346"/>
    <w:rsid w:val="006A59DF"/>
    <w:rsid w:val="006A6D8C"/>
    <w:rsid w:val="006B0170"/>
    <w:rsid w:val="006B11C7"/>
    <w:rsid w:val="006B25C2"/>
    <w:rsid w:val="006B2DF9"/>
    <w:rsid w:val="006B34DA"/>
    <w:rsid w:val="006B36A0"/>
    <w:rsid w:val="006B596E"/>
    <w:rsid w:val="006B65A3"/>
    <w:rsid w:val="006B7B67"/>
    <w:rsid w:val="006C0507"/>
    <w:rsid w:val="006C094E"/>
    <w:rsid w:val="006C1D2C"/>
    <w:rsid w:val="006C66D8"/>
    <w:rsid w:val="006C77F3"/>
    <w:rsid w:val="006C7938"/>
    <w:rsid w:val="006D1E24"/>
    <w:rsid w:val="006D35DE"/>
    <w:rsid w:val="006D3D68"/>
    <w:rsid w:val="006D5917"/>
    <w:rsid w:val="006D6E95"/>
    <w:rsid w:val="006D6F4D"/>
    <w:rsid w:val="006D7778"/>
    <w:rsid w:val="006D7911"/>
    <w:rsid w:val="006E1057"/>
    <w:rsid w:val="006E1417"/>
    <w:rsid w:val="006E2B7E"/>
    <w:rsid w:val="006E3102"/>
    <w:rsid w:val="006E71A5"/>
    <w:rsid w:val="006F34AE"/>
    <w:rsid w:val="006F40E3"/>
    <w:rsid w:val="006F596E"/>
    <w:rsid w:val="006F5BF5"/>
    <w:rsid w:val="006F6027"/>
    <w:rsid w:val="006F6510"/>
    <w:rsid w:val="006F6A2C"/>
    <w:rsid w:val="006F7D58"/>
    <w:rsid w:val="006F7DF8"/>
    <w:rsid w:val="0070218E"/>
    <w:rsid w:val="00702592"/>
    <w:rsid w:val="00702691"/>
    <w:rsid w:val="00704DDA"/>
    <w:rsid w:val="00704E47"/>
    <w:rsid w:val="007069DC"/>
    <w:rsid w:val="0070728F"/>
    <w:rsid w:val="00707461"/>
    <w:rsid w:val="00710201"/>
    <w:rsid w:val="00711CBB"/>
    <w:rsid w:val="00711FF3"/>
    <w:rsid w:val="00712070"/>
    <w:rsid w:val="00712639"/>
    <w:rsid w:val="00712EE9"/>
    <w:rsid w:val="007133C8"/>
    <w:rsid w:val="00713714"/>
    <w:rsid w:val="007171BF"/>
    <w:rsid w:val="00717D70"/>
    <w:rsid w:val="0072073A"/>
    <w:rsid w:val="00721A82"/>
    <w:rsid w:val="00722BDB"/>
    <w:rsid w:val="00725A62"/>
    <w:rsid w:val="00725D44"/>
    <w:rsid w:val="007264BE"/>
    <w:rsid w:val="0073049A"/>
    <w:rsid w:val="00730C48"/>
    <w:rsid w:val="00731103"/>
    <w:rsid w:val="007324FD"/>
    <w:rsid w:val="0073265D"/>
    <w:rsid w:val="0073299A"/>
    <w:rsid w:val="007335F0"/>
    <w:rsid w:val="007342B5"/>
    <w:rsid w:val="00734A5B"/>
    <w:rsid w:val="00734B0F"/>
    <w:rsid w:val="00734D4B"/>
    <w:rsid w:val="007358D5"/>
    <w:rsid w:val="0073623B"/>
    <w:rsid w:val="0073725F"/>
    <w:rsid w:val="0074065B"/>
    <w:rsid w:val="00740B3C"/>
    <w:rsid w:val="0074379F"/>
    <w:rsid w:val="007438C6"/>
    <w:rsid w:val="0074416B"/>
    <w:rsid w:val="00744E76"/>
    <w:rsid w:val="007454E7"/>
    <w:rsid w:val="00745992"/>
    <w:rsid w:val="00745BA5"/>
    <w:rsid w:val="007475E9"/>
    <w:rsid w:val="00751665"/>
    <w:rsid w:val="00753148"/>
    <w:rsid w:val="00753344"/>
    <w:rsid w:val="0075448A"/>
    <w:rsid w:val="00754CCE"/>
    <w:rsid w:val="00757115"/>
    <w:rsid w:val="0075771E"/>
    <w:rsid w:val="00757D40"/>
    <w:rsid w:val="00760323"/>
    <w:rsid w:val="00760484"/>
    <w:rsid w:val="0076345C"/>
    <w:rsid w:val="0076390A"/>
    <w:rsid w:val="00763A68"/>
    <w:rsid w:val="00764D06"/>
    <w:rsid w:val="00764FAA"/>
    <w:rsid w:val="007651F6"/>
    <w:rsid w:val="007662B5"/>
    <w:rsid w:val="00766494"/>
    <w:rsid w:val="007668B4"/>
    <w:rsid w:val="00770283"/>
    <w:rsid w:val="00771B76"/>
    <w:rsid w:val="00771CE9"/>
    <w:rsid w:val="00774DEC"/>
    <w:rsid w:val="007751EF"/>
    <w:rsid w:val="00775A9E"/>
    <w:rsid w:val="00775AAA"/>
    <w:rsid w:val="007770D3"/>
    <w:rsid w:val="007771C1"/>
    <w:rsid w:val="00780472"/>
    <w:rsid w:val="00781F0F"/>
    <w:rsid w:val="00783382"/>
    <w:rsid w:val="0078404F"/>
    <w:rsid w:val="00785AB4"/>
    <w:rsid w:val="0078727C"/>
    <w:rsid w:val="0079049D"/>
    <w:rsid w:val="00793698"/>
    <w:rsid w:val="00793A23"/>
    <w:rsid w:val="00793DC5"/>
    <w:rsid w:val="00794157"/>
    <w:rsid w:val="007941B3"/>
    <w:rsid w:val="00794631"/>
    <w:rsid w:val="00794A05"/>
    <w:rsid w:val="00796823"/>
    <w:rsid w:val="007975FD"/>
    <w:rsid w:val="007A004B"/>
    <w:rsid w:val="007A23B4"/>
    <w:rsid w:val="007A2A23"/>
    <w:rsid w:val="007A2E55"/>
    <w:rsid w:val="007A447C"/>
    <w:rsid w:val="007A4965"/>
    <w:rsid w:val="007A5B71"/>
    <w:rsid w:val="007B18D8"/>
    <w:rsid w:val="007B20D3"/>
    <w:rsid w:val="007B25C7"/>
    <w:rsid w:val="007B2FCD"/>
    <w:rsid w:val="007B5BFE"/>
    <w:rsid w:val="007C0414"/>
    <w:rsid w:val="007C095F"/>
    <w:rsid w:val="007C0FFD"/>
    <w:rsid w:val="007C2DD0"/>
    <w:rsid w:val="007C422A"/>
    <w:rsid w:val="007C4451"/>
    <w:rsid w:val="007C57BB"/>
    <w:rsid w:val="007C5D13"/>
    <w:rsid w:val="007C61DD"/>
    <w:rsid w:val="007C7916"/>
    <w:rsid w:val="007D1000"/>
    <w:rsid w:val="007D1277"/>
    <w:rsid w:val="007D162E"/>
    <w:rsid w:val="007D3C7F"/>
    <w:rsid w:val="007D7159"/>
    <w:rsid w:val="007D7B28"/>
    <w:rsid w:val="007E013E"/>
    <w:rsid w:val="007E0922"/>
    <w:rsid w:val="007E1617"/>
    <w:rsid w:val="007E21DC"/>
    <w:rsid w:val="007E230A"/>
    <w:rsid w:val="007E2470"/>
    <w:rsid w:val="007E366D"/>
    <w:rsid w:val="007E40DD"/>
    <w:rsid w:val="007E46AE"/>
    <w:rsid w:val="007E7171"/>
    <w:rsid w:val="007E7353"/>
    <w:rsid w:val="007E7ED4"/>
    <w:rsid w:val="007F14EA"/>
    <w:rsid w:val="007F2084"/>
    <w:rsid w:val="007F23B7"/>
    <w:rsid w:val="007F2630"/>
    <w:rsid w:val="007F2E08"/>
    <w:rsid w:val="007F3025"/>
    <w:rsid w:val="007F4606"/>
    <w:rsid w:val="007F47F7"/>
    <w:rsid w:val="007F5A6A"/>
    <w:rsid w:val="007F5B30"/>
    <w:rsid w:val="007F628D"/>
    <w:rsid w:val="007F6E39"/>
    <w:rsid w:val="007F761F"/>
    <w:rsid w:val="00800B80"/>
    <w:rsid w:val="008014B1"/>
    <w:rsid w:val="008024FA"/>
    <w:rsid w:val="00802544"/>
    <w:rsid w:val="008028A4"/>
    <w:rsid w:val="0080413A"/>
    <w:rsid w:val="0080597E"/>
    <w:rsid w:val="00805CC2"/>
    <w:rsid w:val="00805EF8"/>
    <w:rsid w:val="0081272D"/>
    <w:rsid w:val="00813245"/>
    <w:rsid w:val="008137D6"/>
    <w:rsid w:val="00813812"/>
    <w:rsid w:val="008147E7"/>
    <w:rsid w:val="00820C3F"/>
    <w:rsid w:val="008214A9"/>
    <w:rsid w:val="00821761"/>
    <w:rsid w:val="00821852"/>
    <w:rsid w:val="00822098"/>
    <w:rsid w:val="0082257F"/>
    <w:rsid w:val="00823B7A"/>
    <w:rsid w:val="008268BA"/>
    <w:rsid w:val="00827870"/>
    <w:rsid w:val="00827B7E"/>
    <w:rsid w:val="00827ECD"/>
    <w:rsid w:val="008325CA"/>
    <w:rsid w:val="00832AEC"/>
    <w:rsid w:val="00834DF2"/>
    <w:rsid w:val="0083534B"/>
    <w:rsid w:val="008358E3"/>
    <w:rsid w:val="00836D69"/>
    <w:rsid w:val="00837FC5"/>
    <w:rsid w:val="00840DE0"/>
    <w:rsid w:val="00840E49"/>
    <w:rsid w:val="0084185E"/>
    <w:rsid w:val="00842469"/>
    <w:rsid w:val="00843057"/>
    <w:rsid w:val="0084382B"/>
    <w:rsid w:val="00844161"/>
    <w:rsid w:val="008458E0"/>
    <w:rsid w:val="00845C50"/>
    <w:rsid w:val="008466FA"/>
    <w:rsid w:val="00847126"/>
    <w:rsid w:val="00847CD0"/>
    <w:rsid w:val="00853B9A"/>
    <w:rsid w:val="00853D03"/>
    <w:rsid w:val="008544DF"/>
    <w:rsid w:val="0085492C"/>
    <w:rsid w:val="00854B68"/>
    <w:rsid w:val="00855C40"/>
    <w:rsid w:val="00856637"/>
    <w:rsid w:val="0085665F"/>
    <w:rsid w:val="008607A8"/>
    <w:rsid w:val="0086354A"/>
    <w:rsid w:val="00864D0E"/>
    <w:rsid w:val="00865E8E"/>
    <w:rsid w:val="00866D1C"/>
    <w:rsid w:val="008670AB"/>
    <w:rsid w:val="008704A6"/>
    <w:rsid w:val="00870F5E"/>
    <w:rsid w:val="00875661"/>
    <w:rsid w:val="008768CA"/>
    <w:rsid w:val="00876F4F"/>
    <w:rsid w:val="00877EF9"/>
    <w:rsid w:val="00880559"/>
    <w:rsid w:val="0088367B"/>
    <w:rsid w:val="00884348"/>
    <w:rsid w:val="00884980"/>
    <w:rsid w:val="00886F73"/>
    <w:rsid w:val="00887EB4"/>
    <w:rsid w:val="00890C52"/>
    <w:rsid w:val="00892152"/>
    <w:rsid w:val="0089332C"/>
    <w:rsid w:val="00893EFC"/>
    <w:rsid w:val="008943AE"/>
    <w:rsid w:val="00895C19"/>
    <w:rsid w:val="0089650F"/>
    <w:rsid w:val="00896C20"/>
    <w:rsid w:val="008979FD"/>
    <w:rsid w:val="008A1560"/>
    <w:rsid w:val="008A1F93"/>
    <w:rsid w:val="008A2B17"/>
    <w:rsid w:val="008A3223"/>
    <w:rsid w:val="008A41D5"/>
    <w:rsid w:val="008A4B32"/>
    <w:rsid w:val="008A50C6"/>
    <w:rsid w:val="008A6294"/>
    <w:rsid w:val="008A7D69"/>
    <w:rsid w:val="008B0859"/>
    <w:rsid w:val="008B0D6C"/>
    <w:rsid w:val="008B190E"/>
    <w:rsid w:val="008B21DD"/>
    <w:rsid w:val="008B2DFC"/>
    <w:rsid w:val="008B2E8C"/>
    <w:rsid w:val="008B3197"/>
    <w:rsid w:val="008B36A9"/>
    <w:rsid w:val="008B5306"/>
    <w:rsid w:val="008B54E8"/>
    <w:rsid w:val="008B66F7"/>
    <w:rsid w:val="008C1780"/>
    <w:rsid w:val="008C19B5"/>
    <w:rsid w:val="008C2E2A"/>
    <w:rsid w:val="008C3057"/>
    <w:rsid w:val="008C48B0"/>
    <w:rsid w:val="008D0678"/>
    <w:rsid w:val="008D1A03"/>
    <w:rsid w:val="008D2E4D"/>
    <w:rsid w:val="008D2EEA"/>
    <w:rsid w:val="008D70C4"/>
    <w:rsid w:val="008D779C"/>
    <w:rsid w:val="008D7B09"/>
    <w:rsid w:val="008D7F6F"/>
    <w:rsid w:val="008E19AA"/>
    <w:rsid w:val="008E2D8B"/>
    <w:rsid w:val="008E4A63"/>
    <w:rsid w:val="008E59F8"/>
    <w:rsid w:val="008E5ACC"/>
    <w:rsid w:val="008E61B9"/>
    <w:rsid w:val="008E6601"/>
    <w:rsid w:val="008E6C42"/>
    <w:rsid w:val="008E7603"/>
    <w:rsid w:val="008E7734"/>
    <w:rsid w:val="008E7A3C"/>
    <w:rsid w:val="008F0302"/>
    <w:rsid w:val="008F0ACF"/>
    <w:rsid w:val="008F0D23"/>
    <w:rsid w:val="008F0FCD"/>
    <w:rsid w:val="008F15CD"/>
    <w:rsid w:val="008F1CAD"/>
    <w:rsid w:val="008F1D14"/>
    <w:rsid w:val="008F1F92"/>
    <w:rsid w:val="008F396F"/>
    <w:rsid w:val="008F3AAE"/>
    <w:rsid w:val="008F3DCD"/>
    <w:rsid w:val="00900B2F"/>
    <w:rsid w:val="0090271F"/>
    <w:rsid w:val="00902803"/>
    <w:rsid w:val="00902DB9"/>
    <w:rsid w:val="00902F4D"/>
    <w:rsid w:val="0090466A"/>
    <w:rsid w:val="0090476E"/>
    <w:rsid w:val="0090618F"/>
    <w:rsid w:val="00906D8C"/>
    <w:rsid w:val="009070B6"/>
    <w:rsid w:val="00907CE1"/>
    <w:rsid w:val="00910872"/>
    <w:rsid w:val="00910AA3"/>
    <w:rsid w:val="00910C80"/>
    <w:rsid w:val="009118FA"/>
    <w:rsid w:val="00911A99"/>
    <w:rsid w:val="00911F54"/>
    <w:rsid w:val="00913D66"/>
    <w:rsid w:val="00915554"/>
    <w:rsid w:val="00915A12"/>
    <w:rsid w:val="00915E54"/>
    <w:rsid w:val="00916D63"/>
    <w:rsid w:val="00923655"/>
    <w:rsid w:val="00923FC4"/>
    <w:rsid w:val="00924AA1"/>
    <w:rsid w:val="00926015"/>
    <w:rsid w:val="00926EF1"/>
    <w:rsid w:val="00931625"/>
    <w:rsid w:val="00931D0F"/>
    <w:rsid w:val="009330FD"/>
    <w:rsid w:val="00933102"/>
    <w:rsid w:val="009339CB"/>
    <w:rsid w:val="00933D28"/>
    <w:rsid w:val="00934312"/>
    <w:rsid w:val="009344D7"/>
    <w:rsid w:val="00934C58"/>
    <w:rsid w:val="00934F3B"/>
    <w:rsid w:val="00935C61"/>
    <w:rsid w:val="00935E12"/>
    <w:rsid w:val="00936071"/>
    <w:rsid w:val="00936DB1"/>
    <w:rsid w:val="009376CD"/>
    <w:rsid w:val="009377F5"/>
    <w:rsid w:val="00940212"/>
    <w:rsid w:val="0094103D"/>
    <w:rsid w:val="0094273C"/>
    <w:rsid w:val="009428D3"/>
    <w:rsid w:val="00942EC2"/>
    <w:rsid w:val="00943347"/>
    <w:rsid w:val="00943B05"/>
    <w:rsid w:val="009449F9"/>
    <w:rsid w:val="0094578A"/>
    <w:rsid w:val="009459A2"/>
    <w:rsid w:val="00945D34"/>
    <w:rsid w:val="009467C2"/>
    <w:rsid w:val="00946856"/>
    <w:rsid w:val="009510DD"/>
    <w:rsid w:val="009514C1"/>
    <w:rsid w:val="00951FC9"/>
    <w:rsid w:val="009535C5"/>
    <w:rsid w:val="00954442"/>
    <w:rsid w:val="00954C4A"/>
    <w:rsid w:val="00954D2F"/>
    <w:rsid w:val="00956DFD"/>
    <w:rsid w:val="00957B09"/>
    <w:rsid w:val="009600E8"/>
    <w:rsid w:val="009607D7"/>
    <w:rsid w:val="0096133A"/>
    <w:rsid w:val="00961B32"/>
    <w:rsid w:val="00962509"/>
    <w:rsid w:val="009628E1"/>
    <w:rsid w:val="00962FDA"/>
    <w:rsid w:val="009639F2"/>
    <w:rsid w:val="00963B38"/>
    <w:rsid w:val="00963F1E"/>
    <w:rsid w:val="00964B9E"/>
    <w:rsid w:val="009658B1"/>
    <w:rsid w:val="00966087"/>
    <w:rsid w:val="0096763B"/>
    <w:rsid w:val="009676CB"/>
    <w:rsid w:val="00967E45"/>
    <w:rsid w:val="00970DB3"/>
    <w:rsid w:val="009740E0"/>
    <w:rsid w:val="009746F4"/>
    <w:rsid w:val="00974BB0"/>
    <w:rsid w:val="00975981"/>
    <w:rsid w:val="00975BCD"/>
    <w:rsid w:val="00975C21"/>
    <w:rsid w:val="0097645A"/>
    <w:rsid w:val="00976905"/>
    <w:rsid w:val="00977136"/>
    <w:rsid w:val="009777F3"/>
    <w:rsid w:val="00977F00"/>
    <w:rsid w:val="00980838"/>
    <w:rsid w:val="00980887"/>
    <w:rsid w:val="0098587F"/>
    <w:rsid w:val="00985B99"/>
    <w:rsid w:val="00985C1B"/>
    <w:rsid w:val="009865C1"/>
    <w:rsid w:val="00987265"/>
    <w:rsid w:val="009903E0"/>
    <w:rsid w:val="00990843"/>
    <w:rsid w:val="00991035"/>
    <w:rsid w:val="009928A9"/>
    <w:rsid w:val="0099467A"/>
    <w:rsid w:val="00995A7C"/>
    <w:rsid w:val="00997232"/>
    <w:rsid w:val="009A0398"/>
    <w:rsid w:val="009A03E9"/>
    <w:rsid w:val="009A064C"/>
    <w:rsid w:val="009A06B5"/>
    <w:rsid w:val="009A0AF3"/>
    <w:rsid w:val="009A28CB"/>
    <w:rsid w:val="009A2DA2"/>
    <w:rsid w:val="009A307C"/>
    <w:rsid w:val="009A38A8"/>
    <w:rsid w:val="009A4404"/>
    <w:rsid w:val="009A59CC"/>
    <w:rsid w:val="009A60E0"/>
    <w:rsid w:val="009A6976"/>
    <w:rsid w:val="009A7C27"/>
    <w:rsid w:val="009B07CD"/>
    <w:rsid w:val="009B08FF"/>
    <w:rsid w:val="009B0F59"/>
    <w:rsid w:val="009B1918"/>
    <w:rsid w:val="009B1B63"/>
    <w:rsid w:val="009B1BCA"/>
    <w:rsid w:val="009B2366"/>
    <w:rsid w:val="009B2EE5"/>
    <w:rsid w:val="009B36CC"/>
    <w:rsid w:val="009B3EB2"/>
    <w:rsid w:val="009B468F"/>
    <w:rsid w:val="009B49CE"/>
    <w:rsid w:val="009B617A"/>
    <w:rsid w:val="009B6D4F"/>
    <w:rsid w:val="009B772C"/>
    <w:rsid w:val="009B77AD"/>
    <w:rsid w:val="009C0202"/>
    <w:rsid w:val="009C19E9"/>
    <w:rsid w:val="009C4C8B"/>
    <w:rsid w:val="009C5113"/>
    <w:rsid w:val="009C573D"/>
    <w:rsid w:val="009C5B83"/>
    <w:rsid w:val="009C7B38"/>
    <w:rsid w:val="009D112C"/>
    <w:rsid w:val="009D187B"/>
    <w:rsid w:val="009D1B6E"/>
    <w:rsid w:val="009D24E2"/>
    <w:rsid w:val="009D2614"/>
    <w:rsid w:val="009D4670"/>
    <w:rsid w:val="009D65F2"/>
    <w:rsid w:val="009D6A96"/>
    <w:rsid w:val="009D74A6"/>
    <w:rsid w:val="009D758F"/>
    <w:rsid w:val="009E00B1"/>
    <w:rsid w:val="009E011F"/>
    <w:rsid w:val="009E0C93"/>
    <w:rsid w:val="009E0E87"/>
    <w:rsid w:val="009E0F04"/>
    <w:rsid w:val="009E359C"/>
    <w:rsid w:val="009E644C"/>
    <w:rsid w:val="009F0EE8"/>
    <w:rsid w:val="009F1DA2"/>
    <w:rsid w:val="009F20D0"/>
    <w:rsid w:val="009F35C9"/>
    <w:rsid w:val="009F4E07"/>
    <w:rsid w:val="009F4E4F"/>
    <w:rsid w:val="009F71A1"/>
    <w:rsid w:val="009F7F2A"/>
    <w:rsid w:val="00A01F3C"/>
    <w:rsid w:val="00A03C46"/>
    <w:rsid w:val="00A0482A"/>
    <w:rsid w:val="00A04A26"/>
    <w:rsid w:val="00A055D5"/>
    <w:rsid w:val="00A074D3"/>
    <w:rsid w:val="00A108A8"/>
    <w:rsid w:val="00A10F02"/>
    <w:rsid w:val="00A111F3"/>
    <w:rsid w:val="00A11B83"/>
    <w:rsid w:val="00A12EBF"/>
    <w:rsid w:val="00A1393E"/>
    <w:rsid w:val="00A151C7"/>
    <w:rsid w:val="00A15D96"/>
    <w:rsid w:val="00A160C2"/>
    <w:rsid w:val="00A17176"/>
    <w:rsid w:val="00A204CA"/>
    <w:rsid w:val="00A209D6"/>
    <w:rsid w:val="00A22738"/>
    <w:rsid w:val="00A23814"/>
    <w:rsid w:val="00A3421E"/>
    <w:rsid w:val="00A34E43"/>
    <w:rsid w:val="00A35A58"/>
    <w:rsid w:val="00A36F5F"/>
    <w:rsid w:val="00A430EC"/>
    <w:rsid w:val="00A4346C"/>
    <w:rsid w:val="00A44367"/>
    <w:rsid w:val="00A51833"/>
    <w:rsid w:val="00A5249B"/>
    <w:rsid w:val="00A53724"/>
    <w:rsid w:val="00A5420F"/>
    <w:rsid w:val="00A54B2B"/>
    <w:rsid w:val="00A558F3"/>
    <w:rsid w:val="00A560E1"/>
    <w:rsid w:val="00A60961"/>
    <w:rsid w:val="00A61F18"/>
    <w:rsid w:val="00A6271A"/>
    <w:rsid w:val="00A62B49"/>
    <w:rsid w:val="00A63194"/>
    <w:rsid w:val="00A66234"/>
    <w:rsid w:val="00A66EF6"/>
    <w:rsid w:val="00A67CAB"/>
    <w:rsid w:val="00A700BE"/>
    <w:rsid w:val="00A701CA"/>
    <w:rsid w:val="00A703B6"/>
    <w:rsid w:val="00A7120A"/>
    <w:rsid w:val="00A72D4D"/>
    <w:rsid w:val="00A7381C"/>
    <w:rsid w:val="00A73934"/>
    <w:rsid w:val="00A757D2"/>
    <w:rsid w:val="00A75D26"/>
    <w:rsid w:val="00A76A55"/>
    <w:rsid w:val="00A80D5B"/>
    <w:rsid w:val="00A810CD"/>
    <w:rsid w:val="00A816F9"/>
    <w:rsid w:val="00A82346"/>
    <w:rsid w:val="00A8275A"/>
    <w:rsid w:val="00A83423"/>
    <w:rsid w:val="00A84089"/>
    <w:rsid w:val="00A850B9"/>
    <w:rsid w:val="00A863E6"/>
    <w:rsid w:val="00A86445"/>
    <w:rsid w:val="00A87580"/>
    <w:rsid w:val="00A9024E"/>
    <w:rsid w:val="00A90EAF"/>
    <w:rsid w:val="00A918D9"/>
    <w:rsid w:val="00A92170"/>
    <w:rsid w:val="00A9270E"/>
    <w:rsid w:val="00A94C4D"/>
    <w:rsid w:val="00A9573F"/>
    <w:rsid w:val="00A9671C"/>
    <w:rsid w:val="00A96AC3"/>
    <w:rsid w:val="00A978CE"/>
    <w:rsid w:val="00A97E9D"/>
    <w:rsid w:val="00AA1553"/>
    <w:rsid w:val="00AA28F7"/>
    <w:rsid w:val="00AA29CD"/>
    <w:rsid w:val="00AA3749"/>
    <w:rsid w:val="00AA3B87"/>
    <w:rsid w:val="00AA715D"/>
    <w:rsid w:val="00AB07DE"/>
    <w:rsid w:val="00AB15DD"/>
    <w:rsid w:val="00AB28AD"/>
    <w:rsid w:val="00AB496E"/>
    <w:rsid w:val="00AB6621"/>
    <w:rsid w:val="00AB71D0"/>
    <w:rsid w:val="00AB79B9"/>
    <w:rsid w:val="00AB7DA5"/>
    <w:rsid w:val="00AC3F45"/>
    <w:rsid w:val="00AC40E7"/>
    <w:rsid w:val="00AC471C"/>
    <w:rsid w:val="00AC5B47"/>
    <w:rsid w:val="00AC773D"/>
    <w:rsid w:val="00AD0995"/>
    <w:rsid w:val="00AD0EBE"/>
    <w:rsid w:val="00AD1701"/>
    <w:rsid w:val="00AD42A1"/>
    <w:rsid w:val="00AD486E"/>
    <w:rsid w:val="00AD4C7D"/>
    <w:rsid w:val="00AD530E"/>
    <w:rsid w:val="00AD5686"/>
    <w:rsid w:val="00AE3184"/>
    <w:rsid w:val="00AE4488"/>
    <w:rsid w:val="00AE54C5"/>
    <w:rsid w:val="00AE6914"/>
    <w:rsid w:val="00AE70A0"/>
    <w:rsid w:val="00AE769C"/>
    <w:rsid w:val="00AF0E51"/>
    <w:rsid w:val="00AF1216"/>
    <w:rsid w:val="00AF42FB"/>
    <w:rsid w:val="00AF689C"/>
    <w:rsid w:val="00AF73E8"/>
    <w:rsid w:val="00B00FFF"/>
    <w:rsid w:val="00B037AE"/>
    <w:rsid w:val="00B03C73"/>
    <w:rsid w:val="00B0495F"/>
    <w:rsid w:val="00B04CD7"/>
    <w:rsid w:val="00B04E5B"/>
    <w:rsid w:val="00B0507C"/>
    <w:rsid w:val="00B05380"/>
    <w:rsid w:val="00B05962"/>
    <w:rsid w:val="00B11943"/>
    <w:rsid w:val="00B13020"/>
    <w:rsid w:val="00B13354"/>
    <w:rsid w:val="00B140C6"/>
    <w:rsid w:val="00B15449"/>
    <w:rsid w:val="00B158E0"/>
    <w:rsid w:val="00B15B9F"/>
    <w:rsid w:val="00B16701"/>
    <w:rsid w:val="00B16C2F"/>
    <w:rsid w:val="00B16F3E"/>
    <w:rsid w:val="00B207F6"/>
    <w:rsid w:val="00B21A70"/>
    <w:rsid w:val="00B22DF7"/>
    <w:rsid w:val="00B234EA"/>
    <w:rsid w:val="00B23591"/>
    <w:rsid w:val="00B2483C"/>
    <w:rsid w:val="00B24FB4"/>
    <w:rsid w:val="00B256E7"/>
    <w:rsid w:val="00B26464"/>
    <w:rsid w:val="00B26A11"/>
    <w:rsid w:val="00B26ADB"/>
    <w:rsid w:val="00B27303"/>
    <w:rsid w:val="00B31C18"/>
    <w:rsid w:val="00B31E2D"/>
    <w:rsid w:val="00B325A1"/>
    <w:rsid w:val="00B340CC"/>
    <w:rsid w:val="00B345DC"/>
    <w:rsid w:val="00B348FB"/>
    <w:rsid w:val="00B358E9"/>
    <w:rsid w:val="00B36654"/>
    <w:rsid w:val="00B37B59"/>
    <w:rsid w:val="00B37D90"/>
    <w:rsid w:val="00B40CD2"/>
    <w:rsid w:val="00B41311"/>
    <w:rsid w:val="00B4154F"/>
    <w:rsid w:val="00B45469"/>
    <w:rsid w:val="00B4792D"/>
    <w:rsid w:val="00B47FD1"/>
    <w:rsid w:val="00B516BB"/>
    <w:rsid w:val="00B52BE7"/>
    <w:rsid w:val="00B5406B"/>
    <w:rsid w:val="00B60B1F"/>
    <w:rsid w:val="00B61770"/>
    <w:rsid w:val="00B61D3A"/>
    <w:rsid w:val="00B61D4B"/>
    <w:rsid w:val="00B61F91"/>
    <w:rsid w:val="00B6279D"/>
    <w:rsid w:val="00B63B64"/>
    <w:rsid w:val="00B663A0"/>
    <w:rsid w:val="00B668AB"/>
    <w:rsid w:val="00B6726D"/>
    <w:rsid w:val="00B676D8"/>
    <w:rsid w:val="00B67BE0"/>
    <w:rsid w:val="00B73541"/>
    <w:rsid w:val="00B7427D"/>
    <w:rsid w:val="00B7538C"/>
    <w:rsid w:val="00B754C0"/>
    <w:rsid w:val="00B80899"/>
    <w:rsid w:val="00B83203"/>
    <w:rsid w:val="00B84650"/>
    <w:rsid w:val="00B84DB2"/>
    <w:rsid w:val="00B84DDB"/>
    <w:rsid w:val="00B85B49"/>
    <w:rsid w:val="00B86E1C"/>
    <w:rsid w:val="00B90717"/>
    <w:rsid w:val="00B90D9B"/>
    <w:rsid w:val="00B919A5"/>
    <w:rsid w:val="00B9237E"/>
    <w:rsid w:val="00B92C95"/>
    <w:rsid w:val="00B94C6B"/>
    <w:rsid w:val="00B966C4"/>
    <w:rsid w:val="00B96722"/>
    <w:rsid w:val="00B967D3"/>
    <w:rsid w:val="00B96E6C"/>
    <w:rsid w:val="00B97043"/>
    <w:rsid w:val="00B973F1"/>
    <w:rsid w:val="00B97CEB"/>
    <w:rsid w:val="00BA1F5D"/>
    <w:rsid w:val="00BA6448"/>
    <w:rsid w:val="00BA6461"/>
    <w:rsid w:val="00BB06D1"/>
    <w:rsid w:val="00BB0A69"/>
    <w:rsid w:val="00BB10F5"/>
    <w:rsid w:val="00BB3155"/>
    <w:rsid w:val="00BB330A"/>
    <w:rsid w:val="00BB3B9D"/>
    <w:rsid w:val="00BB4698"/>
    <w:rsid w:val="00BB4DBA"/>
    <w:rsid w:val="00BB50C2"/>
    <w:rsid w:val="00BB569A"/>
    <w:rsid w:val="00BB73DB"/>
    <w:rsid w:val="00BC095C"/>
    <w:rsid w:val="00BC0974"/>
    <w:rsid w:val="00BC0A7C"/>
    <w:rsid w:val="00BC3555"/>
    <w:rsid w:val="00BC3D65"/>
    <w:rsid w:val="00BC54E0"/>
    <w:rsid w:val="00BC6063"/>
    <w:rsid w:val="00BC79DE"/>
    <w:rsid w:val="00BC7C89"/>
    <w:rsid w:val="00BD0BC4"/>
    <w:rsid w:val="00BD0FE6"/>
    <w:rsid w:val="00BD12BF"/>
    <w:rsid w:val="00BD3BF1"/>
    <w:rsid w:val="00BD6BA2"/>
    <w:rsid w:val="00BD7A62"/>
    <w:rsid w:val="00BE2969"/>
    <w:rsid w:val="00BE2F20"/>
    <w:rsid w:val="00BF24CB"/>
    <w:rsid w:val="00BF2CFA"/>
    <w:rsid w:val="00BF2D21"/>
    <w:rsid w:val="00BF4D66"/>
    <w:rsid w:val="00BF536C"/>
    <w:rsid w:val="00BF5AD2"/>
    <w:rsid w:val="00BF6BC7"/>
    <w:rsid w:val="00C0142F"/>
    <w:rsid w:val="00C017A5"/>
    <w:rsid w:val="00C01BEB"/>
    <w:rsid w:val="00C026C4"/>
    <w:rsid w:val="00C02957"/>
    <w:rsid w:val="00C02FBF"/>
    <w:rsid w:val="00C04A9C"/>
    <w:rsid w:val="00C06330"/>
    <w:rsid w:val="00C103F8"/>
    <w:rsid w:val="00C10798"/>
    <w:rsid w:val="00C10BE5"/>
    <w:rsid w:val="00C10FFB"/>
    <w:rsid w:val="00C113B4"/>
    <w:rsid w:val="00C126D5"/>
    <w:rsid w:val="00C12815"/>
    <w:rsid w:val="00C12B51"/>
    <w:rsid w:val="00C13744"/>
    <w:rsid w:val="00C14E7D"/>
    <w:rsid w:val="00C153B6"/>
    <w:rsid w:val="00C158B0"/>
    <w:rsid w:val="00C15AF4"/>
    <w:rsid w:val="00C15B14"/>
    <w:rsid w:val="00C1659F"/>
    <w:rsid w:val="00C16F92"/>
    <w:rsid w:val="00C20A68"/>
    <w:rsid w:val="00C20F49"/>
    <w:rsid w:val="00C214FC"/>
    <w:rsid w:val="00C21BA1"/>
    <w:rsid w:val="00C221E5"/>
    <w:rsid w:val="00C22708"/>
    <w:rsid w:val="00C23387"/>
    <w:rsid w:val="00C23792"/>
    <w:rsid w:val="00C2415E"/>
    <w:rsid w:val="00C245A9"/>
    <w:rsid w:val="00C24650"/>
    <w:rsid w:val="00C25218"/>
    <w:rsid w:val="00C25465"/>
    <w:rsid w:val="00C26E33"/>
    <w:rsid w:val="00C30B7C"/>
    <w:rsid w:val="00C3191C"/>
    <w:rsid w:val="00C31D46"/>
    <w:rsid w:val="00C33079"/>
    <w:rsid w:val="00C33788"/>
    <w:rsid w:val="00C345A0"/>
    <w:rsid w:val="00C34D52"/>
    <w:rsid w:val="00C364C3"/>
    <w:rsid w:val="00C409AC"/>
    <w:rsid w:val="00C412EB"/>
    <w:rsid w:val="00C41E37"/>
    <w:rsid w:val="00C41EF8"/>
    <w:rsid w:val="00C4290C"/>
    <w:rsid w:val="00C42C07"/>
    <w:rsid w:val="00C47BCF"/>
    <w:rsid w:val="00C51F42"/>
    <w:rsid w:val="00C5211A"/>
    <w:rsid w:val="00C54390"/>
    <w:rsid w:val="00C55A12"/>
    <w:rsid w:val="00C55C77"/>
    <w:rsid w:val="00C606CF"/>
    <w:rsid w:val="00C634A7"/>
    <w:rsid w:val="00C65019"/>
    <w:rsid w:val="00C6553E"/>
    <w:rsid w:val="00C65C83"/>
    <w:rsid w:val="00C66C50"/>
    <w:rsid w:val="00C70331"/>
    <w:rsid w:val="00C707FF"/>
    <w:rsid w:val="00C71A5D"/>
    <w:rsid w:val="00C74687"/>
    <w:rsid w:val="00C74CAA"/>
    <w:rsid w:val="00C7574E"/>
    <w:rsid w:val="00C75A63"/>
    <w:rsid w:val="00C76629"/>
    <w:rsid w:val="00C773B9"/>
    <w:rsid w:val="00C80476"/>
    <w:rsid w:val="00C81DD0"/>
    <w:rsid w:val="00C83A13"/>
    <w:rsid w:val="00C841FB"/>
    <w:rsid w:val="00C84403"/>
    <w:rsid w:val="00C85E39"/>
    <w:rsid w:val="00C86F10"/>
    <w:rsid w:val="00C874F8"/>
    <w:rsid w:val="00C9068C"/>
    <w:rsid w:val="00C90C85"/>
    <w:rsid w:val="00C91FC3"/>
    <w:rsid w:val="00C922A7"/>
    <w:rsid w:val="00C92967"/>
    <w:rsid w:val="00C93E5D"/>
    <w:rsid w:val="00C94062"/>
    <w:rsid w:val="00C9417E"/>
    <w:rsid w:val="00C94383"/>
    <w:rsid w:val="00C96147"/>
    <w:rsid w:val="00CA0992"/>
    <w:rsid w:val="00CA1AD6"/>
    <w:rsid w:val="00CA1C9A"/>
    <w:rsid w:val="00CA25FF"/>
    <w:rsid w:val="00CA3D0C"/>
    <w:rsid w:val="00CA461C"/>
    <w:rsid w:val="00CA4B20"/>
    <w:rsid w:val="00CA4C7B"/>
    <w:rsid w:val="00CA5326"/>
    <w:rsid w:val="00CA580B"/>
    <w:rsid w:val="00CA654B"/>
    <w:rsid w:val="00CB163C"/>
    <w:rsid w:val="00CB2C69"/>
    <w:rsid w:val="00CB348A"/>
    <w:rsid w:val="00CB3E55"/>
    <w:rsid w:val="00CB4A2F"/>
    <w:rsid w:val="00CB72B8"/>
    <w:rsid w:val="00CC085D"/>
    <w:rsid w:val="00CC0C3B"/>
    <w:rsid w:val="00CC3844"/>
    <w:rsid w:val="00CC3D22"/>
    <w:rsid w:val="00CC4D77"/>
    <w:rsid w:val="00CC57F4"/>
    <w:rsid w:val="00CC787E"/>
    <w:rsid w:val="00CC7AEE"/>
    <w:rsid w:val="00CD04E4"/>
    <w:rsid w:val="00CD0BA8"/>
    <w:rsid w:val="00CD2FC9"/>
    <w:rsid w:val="00CD3F44"/>
    <w:rsid w:val="00CD417A"/>
    <w:rsid w:val="00CD4C7B"/>
    <w:rsid w:val="00CD58FE"/>
    <w:rsid w:val="00CD730A"/>
    <w:rsid w:val="00CD77C0"/>
    <w:rsid w:val="00CD7899"/>
    <w:rsid w:val="00CD7D91"/>
    <w:rsid w:val="00CE1751"/>
    <w:rsid w:val="00CE20C3"/>
    <w:rsid w:val="00CE2CCD"/>
    <w:rsid w:val="00CE325D"/>
    <w:rsid w:val="00CE380E"/>
    <w:rsid w:val="00CE48A1"/>
    <w:rsid w:val="00CE4A97"/>
    <w:rsid w:val="00CE68C9"/>
    <w:rsid w:val="00CE68F7"/>
    <w:rsid w:val="00CE6CAE"/>
    <w:rsid w:val="00CF04D8"/>
    <w:rsid w:val="00CF08C7"/>
    <w:rsid w:val="00CF1290"/>
    <w:rsid w:val="00CF3971"/>
    <w:rsid w:val="00CF3E81"/>
    <w:rsid w:val="00CF62F4"/>
    <w:rsid w:val="00CF7881"/>
    <w:rsid w:val="00D0293F"/>
    <w:rsid w:val="00D03166"/>
    <w:rsid w:val="00D03DA3"/>
    <w:rsid w:val="00D05994"/>
    <w:rsid w:val="00D0604A"/>
    <w:rsid w:val="00D06ED2"/>
    <w:rsid w:val="00D07F6A"/>
    <w:rsid w:val="00D10062"/>
    <w:rsid w:val="00D1153D"/>
    <w:rsid w:val="00D123BE"/>
    <w:rsid w:val="00D12BB1"/>
    <w:rsid w:val="00D12F6F"/>
    <w:rsid w:val="00D12FE4"/>
    <w:rsid w:val="00D13262"/>
    <w:rsid w:val="00D237D1"/>
    <w:rsid w:val="00D2453A"/>
    <w:rsid w:val="00D30BC2"/>
    <w:rsid w:val="00D32175"/>
    <w:rsid w:val="00D32263"/>
    <w:rsid w:val="00D33668"/>
    <w:rsid w:val="00D33BE3"/>
    <w:rsid w:val="00D33F69"/>
    <w:rsid w:val="00D341AD"/>
    <w:rsid w:val="00D34A9B"/>
    <w:rsid w:val="00D35D76"/>
    <w:rsid w:val="00D3792D"/>
    <w:rsid w:val="00D407D1"/>
    <w:rsid w:val="00D42C4A"/>
    <w:rsid w:val="00D42CDC"/>
    <w:rsid w:val="00D445D2"/>
    <w:rsid w:val="00D44EC1"/>
    <w:rsid w:val="00D4514E"/>
    <w:rsid w:val="00D45AFB"/>
    <w:rsid w:val="00D45B12"/>
    <w:rsid w:val="00D46F79"/>
    <w:rsid w:val="00D47458"/>
    <w:rsid w:val="00D5019B"/>
    <w:rsid w:val="00D50878"/>
    <w:rsid w:val="00D51436"/>
    <w:rsid w:val="00D52B83"/>
    <w:rsid w:val="00D53BB0"/>
    <w:rsid w:val="00D55912"/>
    <w:rsid w:val="00D55B7C"/>
    <w:rsid w:val="00D55E47"/>
    <w:rsid w:val="00D55F22"/>
    <w:rsid w:val="00D55FBD"/>
    <w:rsid w:val="00D5656D"/>
    <w:rsid w:val="00D60B90"/>
    <w:rsid w:val="00D60F73"/>
    <w:rsid w:val="00D60FC3"/>
    <w:rsid w:val="00D61309"/>
    <w:rsid w:val="00D625A5"/>
    <w:rsid w:val="00D62E19"/>
    <w:rsid w:val="00D63815"/>
    <w:rsid w:val="00D65FF0"/>
    <w:rsid w:val="00D67AC0"/>
    <w:rsid w:val="00D67CD1"/>
    <w:rsid w:val="00D709DF"/>
    <w:rsid w:val="00D71373"/>
    <w:rsid w:val="00D738D6"/>
    <w:rsid w:val="00D748FD"/>
    <w:rsid w:val="00D74EEB"/>
    <w:rsid w:val="00D76655"/>
    <w:rsid w:val="00D76CB1"/>
    <w:rsid w:val="00D80795"/>
    <w:rsid w:val="00D80D92"/>
    <w:rsid w:val="00D81C25"/>
    <w:rsid w:val="00D82ED5"/>
    <w:rsid w:val="00D8310D"/>
    <w:rsid w:val="00D83771"/>
    <w:rsid w:val="00D83BCF"/>
    <w:rsid w:val="00D83E0C"/>
    <w:rsid w:val="00D84915"/>
    <w:rsid w:val="00D85034"/>
    <w:rsid w:val="00D851FB"/>
    <w:rsid w:val="00D854BE"/>
    <w:rsid w:val="00D858C2"/>
    <w:rsid w:val="00D85B75"/>
    <w:rsid w:val="00D86AB5"/>
    <w:rsid w:val="00D873C3"/>
    <w:rsid w:val="00D87E00"/>
    <w:rsid w:val="00D9134D"/>
    <w:rsid w:val="00D91A51"/>
    <w:rsid w:val="00D92EFD"/>
    <w:rsid w:val="00D9416C"/>
    <w:rsid w:val="00D94C45"/>
    <w:rsid w:val="00D94FCC"/>
    <w:rsid w:val="00D94FE7"/>
    <w:rsid w:val="00D950AE"/>
    <w:rsid w:val="00D95693"/>
    <w:rsid w:val="00D95A84"/>
    <w:rsid w:val="00D96BCF"/>
    <w:rsid w:val="00D96D11"/>
    <w:rsid w:val="00D96EE0"/>
    <w:rsid w:val="00DA0040"/>
    <w:rsid w:val="00DA1E6D"/>
    <w:rsid w:val="00DA2951"/>
    <w:rsid w:val="00DA2CC8"/>
    <w:rsid w:val="00DA2F10"/>
    <w:rsid w:val="00DA32FF"/>
    <w:rsid w:val="00DA5728"/>
    <w:rsid w:val="00DA6E81"/>
    <w:rsid w:val="00DA7469"/>
    <w:rsid w:val="00DA7A03"/>
    <w:rsid w:val="00DA7AE9"/>
    <w:rsid w:val="00DB0DB8"/>
    <w:rsid w:val="00DB1818"/>
    <w:rsid w:val="00DB1925"/>
    <w:rsid w:val="00DB2D4A"/>
    <w:rsid w:val="00DB3199"/>
    <w:rsid w:val="00DB3491"/>
    <w:rsid w:val="00DB364C"/>
    <w:rsid w:val="00DB575D"/>
    <w:rsid w:val="00DB5A32"/>
    <w:rsid w:val="00DB5C0A"/>
    <w:rsid w:val="00DB6D98"/>
    <w:rsid w:val="00DC04DC"/>
    <w:rsid w:val="00DC099F"/>
    <w:rsid w:val="00DC309B"/>
    <w:rsid w:val="00DC4DA2"/>
    <w:rsid w:val="00DC5261"/>
    <w:rsid w:val="00DC7B52"/>
    <w:rsid w:val="00DC7DA1"/>
    <w:rsid w:val="00DD28DC"/>
    <w:rsid w:val="00DD52E5"/>
    <w:rsid w:val="00DD5E18"/>
    <w:rsid w:val="00DD6714"/>
    <w:rsid w:val="00DE200D"/>
    <w:rsid w:val="00DE20FC"/>
    <w:rsid w:val="00DE25D2"/>
    <w:rsid w:val="00DE373D"/>
    <w:rsid w:val="00DE3BA2"/>
    <w:rsid w:val="00DE3D65"/>
    <w:rsid w:val="00DE3EBA"/>
    <w:rsid w:val="00DE6B7B"/>
    <w:rsid w:val="00DE7E2F"/>
    <w:rsid w:val="00DF001E"/>
    <w:rsid w:val="00DF0273"/>
    <w:rsid w:val="00DF05A8"/>
    <w:rsid w:val="00DF0CA1"/>
    <w:rsid w:val="00DF0EDE"/>
    <w:rsid w:val="00DF3C67"/>
    <w:rsid w:val="00DF4225"/>
    <w:rsid w:val="00DF4F72"/>
    <w:rsid w:val="00DF56D3"/>
    <w:rsid w:val="00DF5C55"/>
    <w:rsid w:val="00DF6A7D"/>
    <w:rsid w:val="00DF7C20"/>
    <w:rsid w:val="00DF7D49"/>
    <w:rsid w:val="00E00172"/>
    <w:rsid w:val="00E00821"/>
    <w:rsid w:val="00E01F4B"/>
    <w:rsid w:val="00E02C36"/>
    <w:rsid w:val="00E03946"/>
    <w:rsid w:val="00E03D64"/>
    <w:rsid w:val="00E05480"/>
    <w:rsid w:val="00E06724"/>
    <w:rsid w:val="00E06F3C"/>
    <w:rsid w:val="00E1159C"/>
    <w:rsid w:val="00E12CE0"/>
    <w:rsid w:val="00E13199"/>
    <w:rsid w:val="00E14D27"/>
    <w:rsid w:val="00E15D17"/>
    <w:rsid w:val="00E16083"/>
    <w:rsid w:val="00E16E43"/>
    <w:rsid w:val="00E20199"/>
    <w:rsid w:val="00E20DAC"/>
    <w:rsid w:val="00E21C4C"/>
    <w:rsid w:val="00E22A8F"/>
    <w:rsid w:val="00E232AB"/>
    <w:rsid w:val="00E23E27"/>
    <w:rsid w:val="00E24536"/>
    <w:rsid w:val="00E248C3"/>
    <w:rsid w:val="00E25B79"/>
    <w:rsid w:val="00E26667"/>
    <w:rsid w:val="00E26A31"/>
    <w:rsid w:val="00E301DD"/>
    <w:rsid w:val="00E3198D"/>
    <w:rsid w:val="00E347EA"/>
    <w:rsid w:val="00E35A94"/>
    <w:rsid w:val="00E35E08"/>
    <w:rsid w:val="00E37762"/>
    <w:rsid w:val="00E4081B"/>
    <w:rsid w:val="00E41539"/>
    <w:rsid w:val="00E4155C"/>
    <w:rsid w:val="00E41A55"/>
    <w:rsid w:val="00E4332E"/>
    <w:rsid w:val="00E43516"/>
    <w:rsid w:val="00E4370D"/>
    <w:rsid w:val="00E4519B"/>
    <w:rsid w:val="00E45E70"/>
    <w:rsid w:val="00E46A4C"/>
    <w:rsid w:val="00E46C08"/>
    <w:rsid w:val="00E471CF"/>
    <w:rsid w:val="00E52B31"/>
    <w:rsid w:val="00E52F35"/>
    <w:rsid w:val="00E535A5"/>
    <w:rsid w:val="00E5429C"/>
    <w:rsid w:val="00E546E3"/>
    <w:rsid w:val="00E5628F"/>
    <w:rsid w:val="00E564B2"/>
    <w:rsid w:val="00E57449"/>
    <w:rsid w:val="00E57C18"/>
    <w:rsid w:val="00E60B7A"/>
    <w:rsid w:val="00E61D8D"/>
    <w:rsid w:val="00E62835"/>
    <w:rsid w:val="00E63068"/>
    <w:rsid w:val="00E64AA2"/>
    <w:rsid w:val="00E70ECE"/>
    <w:rsid w:val="00E71756"/>
    <w:rsid w:val="00E721FB"/>
    <w:rsid w:val="00E724C5"/>
    <w:rsid w:val="00E738E5"/>
    <w:rsid w:val="00E7391A"/>
    <w:rsid w:val="00E77645"/>
    <w:rsid w:val="00E80B38"/>
    <w:rsid w:val="00E81558"/>
    <w:rsid w:val="00E82177"/>
    <w:rsid w:val="00E8240F"/>
    <w:rsid w:val="00E82A80"/>
    <w:rsid w:val="00E83697"/>
    <w:rsid w:val="00E84B14"/>
    <w:rsid w:val="00E859B6"/>
    <w:rsid w:val="00E85E2B"/>
    <w:rsid w:val="00E87D8D"/>
    <w:rsid w:val="00E907B2"/>
    <w:rsid w:val="00E942E9"/>
    <w:rsid w:val="00E95677"/>
    <w:rsid w:val="00E96435"/>
    <w:rsid w:val="00E97776"/>
    <w:rsid w:val="00EA0D2C"/>
    <w:rsid w:val="00EA234A"/>
    <w:rsid w:val="00EA2856"/>
    <w:rsid w:val="00EA3342"/>
    <w:rsid w:val="00EA3B81"/>
    <w:rsid w:val="00EA489E"/>
    <w:rsid w:val="00EA4F82"/>
    <w:rsid w:val="00EA66C9"/>
    <w:rsid w:val="00EA6D34"/>
    <w:rsid w:val="00EB0066"/>
    <w:rsid w:val="00EB4A03"/>
    <w:rsid w:val="00EB55CB"/>
    <w:rsid w:val="00EB5D32"/>
    <w:rsid w:val="00EB72DE"/>
    <w:rsid w:val="00EC0787"/>
    <w:rsid w:val="00EC0CAC"/>
    <w:rsid w:val="00EC15DA"/>
    <w:rsid w:val="00EC369B"/>
    <w:rsid w:val="00EC4A25"/>
    <w:rsid w:val="00EC58E5"/>
    <w:rsid w:val="00EC78DF"/>
    <w:rsid w:val="00ED0554"/>
    <w:rsid w:val="00ED112E"/>
    <w:rsid w:val="00ED3396"/>
    <w:rsid w:val="00ED43C2"/>
    <w:rsid w:val="00ED4BF7"/>
    <w:rsid w:val="00ED574F"/>
    <w:rsid w:val="00ED61A5"/>
    <w:rsid w:val="00ED61D1"/>
    <w:rsid w:val="00ED701A"/>
    <w:rsid w:val="00ED7D11"/>
    <w:rsid w:val="00EE0F9B"/>
    <w:rsid w:val="00EE0FFD"/>
    <w:rsid w:val="00EE2157"/>
    <w:rsid w:val="00EE2276"/>
    <w:rsid w:val="00EE5BB5"/>
    <w:rsid w:val="00EE7B03"/>
    <w:rsid w:val="00EF0853"/>
    <w:rsid w:val="00EF0AE0"/>
    <w:rsid w:val="00EF41E0"/>
    <w:rsid w:val="00EF432B"/>
    <w:rsid w:val="00EF4841"/>
    <w:rsid w:val="00EF5156"/>
    <w:rsid w:val="00EF612C"/>
    <w:rsid w:val="00EF6318"/>
    <w:rsid w:val="00F0083B"/>
    <w:rsid w:val="00F019DB"/>
    <w:rsid w:val="00F01C4A"/>
    <w:rsid w:val="00F025A2"/>
    <w:rsid w:val="00F036E9"/>
    <w:rsid w:val="00F03879"/>
    <w:rsid w:val="00F039B5"/>
    <w:rsid w:val="00F03D76"/>
    <w:rsid w:val="00F05A28"/>
    <w:rsid w:val="00F05EF0"/>
    <w:rsid w:val="00F06FAE"/>
    <w:rsid w:val="00F07388"/>
    <w:rsid w:val="00F0787C"/>
    <w:rsid w:val="00F1190F"/>
    <w:rsid w:val="00F12D75"/>
    <w:rsid w:val="00F131CA"/>
    <w:rsid w:val="00F13780"/>
    <w:rsid w:val="00F15CC6"/>
    <w:rsid w:val="00F15E44"/>
    <w:rsid w:val="00F1696E"/>
    <w:rsid w:val="00F17C9E"/>
    <w:rsid w:val="00F2026E"/>
    <w:rsid w:val="00F203C8"/>
    <w:rsid w:val="00F20B16"/>
    <w:rsid w:val="00F2210A"/>
    <w:rsid w:val="00F223BC"/>
    <w:rsid w:val="00F22D2B"/>
    <w:rsid w:val="00F238FB"/>
    <w:rsid w:val="00F25CA8"/>
    <w:rsid w:val="00F31372"/>
    <w:rsid w:val="00F314F6"/>
    <w:rsid w:val="00F31A1F"/>
    <w:rsid w:val="00F31E01"/>
    <w:rsid w:val="00F320A1"/>
    <w:rsid w:val="00F32899"/>
    <w:rsid w:val="00F34809"/>
    <w:rsid w:val="00F3503A"/>
    <w:rsid w:val="00F3639F"/>
    <w:rsid w:val="00F371BD"/>
    <w:rsid w:val="00F37743"/>
    <w:rsid w:val="00F50861"/>
    <w:rsid w:val="00F52444"/>
    <w:rsid w:val="00F52BDA"/>
    <w:rsid w:val="00F534B5"/>
    <w:rsid w:val="00F54A3D"/>
    <w:rsid w:val="00F54CB0"/>
    <w:rsid w:val="00F561DC"/>
    <w:rsid w:val="00F56556"/>
    <w:rsid w:val="00F579CD"/>
    <w:rsid w:val="00F6064E"/>
    <w:rsid w:val="00F606FE"/>
    <w:rsid w:val="00F653B8"/>
    <w:rsid w:val="00F66FE0"/>
    <w:rsid w:val="00F70607"/>
    <w:rsid w:val="00F71B89"/>
    <w:rsid w:val="00F72625"/>
    <w:rsid w:val="00F72E1B"/>
    <w:rsid w:val="00F73465"/>
    <w:rsid w:val="00F7353C"/>
    <w:rsid w:val="00F755C4"/>
    <w:rsid w:val="00F760E3"/>
    <w:rsid w:val="00F761BC"/>
    <w:rsid w:val="00F76F8F"/>
    <w:rsid w:val="00F77660"/>
    <w:rsid w:val="00F7773C"/>
    <w:rsid w:val="00F80DEB"/>
    <w:rsid w:val="00F81BCF"/>
    <w:rsid w:val="00F825A1"/>
    <w:rsid w:val="00F82A85"/>
    <w:rsid w:val="00F82FE8"/>
    <w:rsid w:val="00F83287"/>
    <w:rsid w:val="00F87257"/>
    <w:rsid w:val="00F876B5"/>
    <w:rsid w:val="00F87FA2"/>
    <w:rsid w:val="00F9052D"/>
    <w:rsid w:val="00F90639"/>
    <w:rsid w:val="00F941DF"/>
    <w:rsid w:val="00F9428A"/>
    <w:rsid w:val="00F945A7"/>
    <w:rsid w:val="00F95C0C"/>
    <w:rsid w:val="00F9651B"/>
    <w:rsid w:val="00FA0524"/>
    <w:rsid w:val="00FA061B"/>
    <w:rsid w:val="00FA1266"/>
    <w:rsid w:val="00FA26F3"/>
    <w:rsid w:val="00FA2CB8"/>
    <w:rsid w:val="00FA2CBF"/>
    <w:rsid w:val="00FA35BE"/>
    <w:rsid w:val="00FA4164"/>
    <w:rsid w:val="00FA6AC4"/>
    <w:rsid w:val="00FA6C5C"/>
    <w:rsid w:val="00FA7FC5"/>
    <w:rsid w:val="00FB0EFA"/>
    <w:rsid w:val="00FB2277"/>
    <w:rsid w:val="00FB330E"/>
    <w:rsid w:val="00FB36FA"/>
    <w:rsid w:val="00FB3940"/>
    <w:rsid w:val="00FB662F"/>
    <w:rsid w:val="00FC0294"/>
    <w:rsid w:val="00FC1192"/>
    <w:rsid w:val="00FC176A"/>
    <w:rsid w:val="00FC301E"/>
    <w:rsid w:val="00FC34AC"/>
    <w:rsid w:val="00FC5807"/>
    <w:rsid w:val="00FC5B76"/>
    <w:rsid w:val="00FC604C"/>
    <w:rsid w:val="00FC63C7"/>
    <w:rsid w:val="00FC6936"/>
    <w:rsid w:val="00FC78D3"/>
    <w:rsid w:val="00FC7E2E"/>
    <w:rsid w:val="00FC7FEA"/>
    <w:rsid w:val="00FD0518"/>
    <w:rsid w:val="00FD0B55"/>
    <w:rsid w:val="00FD2AB1"/>
    <w:rsid w:val="00FD3F9A"/>
    <w:rsid w:val="00FD463D"/>
    <w:rsid w:val="00FE106D"/>
    <w:rsid w:val="00FE196C"/>
    <w:rsid w:val="00FE251B"/>
    <w:rsid w:val="00FE3A72"/>
    <w:rsid w:val="00FE45BB"/>
    <w:rsid w:val="00FE4A68"/>
    <w:rsid w:val="00FE6E1E"/>
    <w:rsid w:val="00FF142F"/>
    <w:rsid w:val="00FF18ED"/>
    <w:rsid w:val="00FF215C"/>
    <w:rsid w:val="00FF25AF"/>
    <w:rsid w:val="00FF28F3"/>
    <w:rsid w:val="00FF4504"/>
    <w:rsid w:val="00FF698C"/>
    <w:rsid w:val="01F3E789"/>
    <w:rsid w:val="0238DE78"/>
    <w:rsid w:val="02E050F3"/>
    <w:rsid w:val="057FE3BB"/>
    <w:rsid w:val="06390B13"/>
    <w:rsid w:val="0B0AE429"/>
    <w:rsid w:val="0D2099FC"/>
    <w:rsid w:val="0DB20FBE"/>
    <w:rsid w:val="0F35E6B2"/>
    <w:rsid w:val="0F980112"/>
    <w:rsid w:val="10A42219"/>
    <w:rsid w:val="10DE0124"/>
    <w:rsid w:val="10E06234"/>
    <w:rsid w:val="1116168A"/>
    <w:rsid w:val="12EFED6E"/>
    <w:rsid w:val="14999EA7"/>
    <w:rsid w:val="1BB1533B"/>
    <w:rsid w:val="1ED31188"/>
    <w:rsid w:val="21D233E9"/>
    <w:rsid w:val="22AFACA1"/>
    <w:rsid w:val="23669801"/>
    <w:rsid w:val="23BBCDA8"/>
    <w:rsid w:val="2510493A"/>
    <w:rsid w:val="25A284CF"/>
    <w:rsid w:val="25D77352"/>
    <w:rsid w:val="26EA201E"/>
    <w:rsid w:val="287F0013"/>
    <w:rsid w:val="28CCADD6"/>
    <w:rsid w:val="29973B8A"/>
    <w:rsid w:val="2F6F313E"/>
    <w:rsid w:val="2F6F45D0"/>
    <w:rsid w:val="3072B003"/>
    <w:rsid w:val="310425C5"/>
    <w:rsid w:val="3258A157"/>
    <w:rsid w:val="3349DF7A"/>
    <w:rsid w:val="33E6C3D5"/>
    <w:rsid w:val="34682C91"/>
    <w:rsid w:val="36DF93A7"/>
    <w:rsid w:val="3862055F"/>
    <w:rsid w:val="3A378003"/>
    <w:rsid w:val="3A8BB98B"/>
    <w:rsid w:val="3D29925E"/>
    <w:rsid w:val="3D38D4F7"/>
    <w:rsid w:val="3DBB0820"/>
    <w:rsid w:val="3E3C3F2A"/>
    <w:rsid w:val="3EDB2CA7"/>
    <w:rsid w:val="3FA0F974"/>
    <w:rsid w:val="409975A1"/>
    <w:rsid w:val="4427EBC4"/>
    <w:rsid w:val="470DE3AF"/>
    <w:rsid w:val="48261F26"/>
    <w:rsid w:val="48981397"/>
    <w:rsid w:val="48AA5900"/>
    <w:rsid w:val="49AAC063"/>
    <w:rsid w:val="4A5393A4"/>
    <w:rsid w:val="4A71EA7B"/>
    <w:rsid w:val="4A812D14"/>
    <w:rsid w:val="4CE95191"/>
    <w:rsid w:val="4DCEFC65"/>
    <w:rsid w:val="4DF57298"/>
    <w:rsid w:val="4EC32875"/>
    <w:rsid w:val="4FEC0846"/>
    <w:rsid w:val="505836C5"/>
    <w:rsid w:val="54CB5D8D"/>
    <w:rsid w:val="5566EF5F"/>
    <w:rsid w:val="568A093E"/>
    <w:rsid w:val="57484E27"/>
    <w:rsid w:val="5848BF87"/>
    <w:rsid w:val="5890AF49"/>
    <w:rsid w:val="5A31A9AE"/>
    <w:rsid w:val="5B04E306"/>
    <w:rsid w:val="5DE55776"/>
    <w:rsid w:val="621FCAF3"/>
    <w:rsid w:val="66DC7199"/>
    <w:rsid w:val="69CE83F4"/>
    <w:rsid w:val="6AE130C0"/>
    <w:rsid w:val="6B78352D"/>
    <w:rsid w:val="6C45EB0A"/>
    <w:rsid w:val="6D520C11"/>
    <w:rsid w:val="6F9DD766"/>
    <w:rsid w:val="703B6798"/>
    <w:rsid w:val="724AF2D2"/>
    <w:rsid w:val="72A74740"/>
    <w:rsid w:val="73EF1560"/>
    <w:rsid w:val="7475DB15"/>
    <w:rsid w:val="74AB8F6B"/>
    <w:rsid w:val="79DCB6BD"/>
    <w:rsid w:val="7B6E952D"/>
    <w:rsid w:val="7CE62F83"/>
    <w:rsid w:val="7D408F2E"/>
    <w:rsid w:val="7DBD327E"/>
    <w:rsid w:val="7F01D52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69744DE5"/>
  <w15:chartTrackingRefBased/>
  <w15:docId w15:val="{B0DEADAD-D475-4BB0-83C1-023F5F32E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link w:val="ListParagraphChar"/>
    <w:uiPriority w:val="34"/>
    <w:qFormat/>
    <w:rsid w:val="0025571F"/>
    <w:pPr>
      <w:ind w:left="720"/>
      <w:contextualSpacing/>
    </w:pPr>
  </w:style>
  <w:style w:type="table" w:styleId="TableGrid">
    <w:name w:val="Table Grid"/>
    <w:basedOn w:val="TableNormal"/>
    <w:rsid w:val="00255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25571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571F"/>
    <w:rPr>
      <w:rFonts w:ascii="Arial" w:eastAsia="MS Mincho" w:hAnsi="Arial"/>
      <w:szCs w:val="24"/>
    </w:rPr>
  </w:style>
  <w:style w:type="character" w:styleId="CommentReference">
    <w:name w:val="annotation reference"/>
    <w:basedOn w:val="DefaultParagraphFont"/>
    <w:rsid w:val="00987265"/>
    <w:rPr>
      <w:sz w:val="16"/>
      <w:szCs w:val="16"/>
    </w:rPr>
  </w:style>
  <w:style w:type="paragraph" w:styleId="CommentText">
    <w:name w:val="annotation text"/>
    <w:basedOn w:val="Normal"/>
    <w:link w:val="CommentTextChar"/>
    <w:rsid w:val="00987265"/>
  </w:style>
  <w:style w:type="character" w:customStyle="1" w:styleId="CommentTextChar">
    <w:name w:val="Comment Text Char"/>
    <w:basedOn w:val="DefaultParagraphFont"/>
    <w:link w:val="CommentText"/>
    <w:rsid w:val="00987265"/>
    <w:rPr>
      <w:lang w:eastAsia="en-US"/>
    </w:rPr>
  </w:style>
  <w:style w:type="paragraph" w:styleId="CommentSubject">
    <w:name w:val="annotation subject"/>
    <w:basedOn w:val="CommentText"/>
    <w:next w:val="CommentText"/>
    <w:link w:val="CommentSubjectChar"/>
    <w:rsid w:val="00987265"/>
    <w:rPr>
      <w:b/>
      <w:bCs/>
    </w:rPr>
  </w:style>
  <w:style w:type="character" w:customStyle="1" w:styleId="CommentSubjectChar">
    <w:name w:val="Comment Subject Char"/>
    <w:basedOn w:val="CommentTextChar"/>
    <w:link w:val="CommentSubject"/>
    <w:rsid w:val="00987265"/>
    <w:rPr>
      <w:b/>
      <w:bCs/>
      <w:lang w:eastAsia="en-US"/>
    </w:rPr>
  </w:style>
  <w:style w:type="character" w:styleId="Mention">
    <w:name w:val="Mention"/>
    <w:basedOn w:val="DefaultParagraphFont"/>
    <w:uiPriority w:val="99"/>
    <w:unhideWhenUsed/>
    <w:rsid w:val="00F606FE"/>
    <w:rPr>
      <w:color w:val="2B579A"/>
      <w:shd w:val="clear" w:color="auto" w:fill="E1DFDD"/>
    </w:rPr>
  </w:style>
  <w:style w:type="character" w:styleId="FollowedHyperlink">
    <w:name w:val="FollowedHyperlink"/>
    <w:basedOn w:val="DefaultParagraphFont"/>
    <w:rsid w:val="00AA29CD"/>
    <w:rPr>
      <w:color w:val="954F72" w:themeColor="followedHyperlink"/>
      <w:u w:val="single"/>
    </w:rPr>
  </w:style>
  <w:style w:type="paragraph" w:styleId="Caption">
    <w:name w:val="caption"/>
    <w:basedOn w:val="Normal"/>
    <w:next w:val="Normal"/>
    <w:unhideWhenUsed/>
    <w:qFormat/>
    <w:rsid w:val="0076345C"/>
    <w:pPr>
      <w:spacing w:after="200"/>
    </w:pPr>
    <w:rPr>
      <w:i/>
      <w:iCs/>
      <w:color w:val="44546A" w:themeColor="text2"/>
      <w:sz w:val="18"/>
      <w:szCs w:val="18"/>
    </w:rPr>
  </w:style>
  <w:style w:type="character" w:customStyle="1" w:styleId="TALCar">
    <w:name w:val="TAL Car"/>
    <w:link w:val="TAL"/>
    <w:qFormat/>
    <w:locked/>
    <w:rsid w:val="00165CF6"/>
    <w:rPr>
      <w:rFonts w:ascii="Arial" w:hAnsi="Arial"/>
      <w:sz w:val="18"/>
      <w:lang w:eastAsia="en-US"/>
    </w:rPr>
  </w:style>
  <w:style w:type="character" w:customStyle="1" w:styleId="TAHCar">
    <w:name w:val="TAH Car"/>
    <w:link w:val="TAH"/>
    <w:qFormat/>
    <w:locked/>
    <w:rsid w:val="00165CF6"/>
    <w:rPr>
      <w:rFonts w:ascii="Arial" w:hAnsi="Arial"/>
      <w:b/>
      <w:sz w:val="18"/>
      <w:lang w:eastAsia="en-US"/>
    </w:rPr>
  </w:style>
  <w:style w:type="paragraph" w:styleId="Revision">
    <w:name w:val="Revision"/>
    <w:hidden/>
    <w:uiPriority w:val="99"/>
    <w:semiHidden/>
    <w:rsid w:val="00585D78"/>
    <w:rPr>
      <w:lang w:eastAsia="en-US"/>
    </w:rPr>
  </w:style>
  <w:style w:type="character" w:customStyle="1" w:styleId="ListParagraphChar">
    <w:name w:val="List Paragraph Char"/>
    <w:link w:val="ListParagraph"/>
    <w:uiPriority w:val="34"/>
    <w:qFormat/>
    <w:locked/>
    <w:rsid w:val="00832AEC"/>
    <w:rPr>
      <w:lang w:eastAsia="en-US"/>
    </w:rPr>
  </w:style>
  <w:style w:type="paragraph" w:customStyle="1" w:styleId="EmailDiscussion">
    <w:name w:val="EmailDiscussion"/>
    <w:basedOn w:val="Normal"/>
    <w:rsid w:val="00F6064E"/>
    <w:pPr>
      <w:numPr>
        <w:numId w:val="10"/>
      </w:numPr>
      <w:spacing w:before="40" w:after="0" w:line="252" w:lineRule="auto"/>
      <w:jc w:val="both"/>
    </w:pPr>
    <w:rPr>
      <w:rFonts w:ascii="Arial" w:eastAsiaTheme="minorHAnsi" w:hAnsi="Arial" w:cs="Arial"/>
      <w:b/>
      <w:bCs/>
      <w:sz w:val="22"/>
      <w:szCs w:val="22"/>
      <w:lang w:val="en-US" w:eastAsia="en-GB"/>
    </w:rPr>
  </w:style>
  <w:style w:type="paragraph" w:styleId="NoSpacing">
    <w:name w:val="No Spacing"/>
    <w:uiPriority w:val="1"/>
    <w:qFormat/>
    <w:rsid w:val="002A69FF"/>
    <w:rPr>
      <w:lang w:eastAsia="en-US"/>
    </w:rPr>
  </w:style>
  <w:style w:type="character" w:customStyle="1" w:styleId="B1Char1">
    <w:name w:val="B1 Char1"/>
    <w:link w:val="B1"/>
    <w:qFormat/>
    <w:rsid w:val="00D1153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461402">
      <w:bodyDiv w:val="1"/>
      <w:marLeft w:val="0"/>
      <w:marRight w:val="0"/>
      <w:marTop w:val="0"/>
      <w:marBottom w:val="0"/>
      <w:divBdr>
        <w:top w:val="none" w:sz="0" w:space="0" w:color="auto"/>
        <w:left w:val="none" w:sz="0" w:space="0" w:color="auto"/>
        <w:bottom w:val="none" w:sz="0" w:space="0" w:color="auto"/>
        <w:right w:val="none" w:sz="0" w:space="0" w:color="auto"/>
      </w:divBdr>
    </w:div>
    <w:div w:id="329334406">
      <w:bodyDiv w:val="1"/>
      <w:marLeft w:val="0"/>
      <w:marRight w:val="0"/>
      <w:marTop w:val="0"/>
      <w:marBottom w:val="0"/>
      <w:divBdr>
        <w:top w:val="none" w:sz="0" w:space="0" w:color="auto"/>
        <w:left w:val="none" w:sz="0" w:space="0" w:color="auto"/>
        <w:bottom w:val="none" w:sz="0" w:space="0" w:color="auto"/>
        <w:right w:val="none" w:sz="0" w:space="0" w:color="auto"/>
      </w:divBdr>
    </w:div>
    <w:div w:id="443118064">
      <w:bodyDiv w:val="1"/>
      <w:marLeft w:val="0"/>
      <w:marRight w:val="0"/>
      <w:marTop w:val="0"/>
      <w:marBottom w:val="0"/>
      <w:divBdr>
        <w:top w:val="none" w:sz="0" w:space="0" w:color="auto"/>
        <w:left w:val="none" w:sz="0" w:space="0" w:color="auto"/>
        <w:bottom w:val="none" w:sz="0" w:space="0" w:color="auto"/>
        <w:right w:val="none" w:sz="0" w:space="0" w:color="auto"/>
      </w:divBdr>
    </w:div>
    <w:div w:id="54448649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109089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28650539">
      <w:bodyDiv w:val="1"/>
      <w:marLeft w:val="0"/>
      <w:marRight w:val="0"/>
      <w:marTop w:val="0"/>
      <w:marBottom w:val="0"/>
      <w:divBdr>
        <w:top w:val="none" w:sz="0" w:space="0" w:color="auto"/>
        <w:left w:val="none" w:sz="0" w:space="0" w:color="auto"/>
        <w:bottom w:val="none" w:sz="0" w:space="0" w:color="auto"/>
        <w:right w:val="none" w:sz="0" w:space="0" w:color="auto"/>
      </w:divBdr>
    </w:div>
    <w:div w:id="17183124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5AIRPNAIUNRU-859666464-14820</_dlc_DocId>
    <_dlc_DocIdUrl xmlns="71c5aaf6-e6ce-465b-b873-5148d2a4c105">
      <Url>https://nokia.sharepoint.com/sites/c5g/e2earch/_layouts/15/DocIdRedir.aspx?ID=5AIRPNAIUNRU-859666464-14820</Url>
      <Description>5AIRPNAIUNRU-859666464-14820</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BFC8132-9B8B-4E41-895C-FCFE79397EC3}">
  <ds:schemaRefs>
    <ds:schemaRef ds:uri="http://schemas.openxmlformats.org/officeDocument/2006/bibliography"/>
  </ds:schemaRefs>
</ds:datastoreItem>
</file>

<file path=customXml/itemProps2.xml><?xml version="1.0" encoding="utf-8"?>
<ds:datastoreItem xmlns:ds="http://schemas.openxmlformats.org/officeDocument/2006/customXml" ds:itemID="{1EDD23B0-464A-4278-BC78-DA48C75D98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www.w3.org/XML/1998/namespace"/>
    <ds:schemaRef ds:uri="3b34c8f0-1ef5-4d1e-bb66-517ce7fe7356"/>
    <ds:schemaRef ds:uri="http://schemas.microsoft.com/office/2006/metadata/properties"/>
    <ds:schemaRef ds:uri="http://schemas.microsoft.com/office/2006/documentManagement/types"/>
    <ds:schemaRef ds:uri="a3840f4f-04be-43d1-b2ef-6ff1382503c7"/>
    <ds:schemaRef ds:uri="http://schemas.openxmlformats.org/package/2006/metadata/core-properties"/>
    <ds:schemaRef ds:uri="71c5aaf6-e6ce-465b-b873-5148d2a4c105"/>
    <ds:schemaRef ds:uri="http://schemas.microsoft.com/office/infopath/2007/PartnerControls"/>
    <ds:schemaRef ds:uri="http://purl.org/dc/elements/1.1/"/>
    <ds:schemaRef ds:uri="http://purl.org/dc/terms/"/>
    <ds:schemaRef ds:uri="83f22d2f-d16e-4be6-ad4f-29fa0b067c3c"/>
    <ds:schemaRef ds:uri="http://purl.org/dc/dcmityp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5</Pages>
  <Words>2423</Words>
  <Characters>13351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15743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Jerediah Fevold (Nokia)</cp:lastModifiedBy>
  <cp:revision>5</cp:revision>
  <dcterms:created xsi:type="dcterms:W3CDTF">2023-08-11T00:03:00Z</dcterms:created>
  <dcterms:modified xsi:type="dcterms:W3CDTF">2023-08-11T00:07:00Z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7d64ce84-7806-4a8b-bfbd-eefeb15ae4a1</vt:lpwstr>
  </property>
  <property fmtid="{D5CDD505-2E9C-101B-9397-08002B2CF9AE}" pid="4" name="MediaServiceImageTags">
    <vt:lpwstr/>
  </property>
</Properties>
</file>